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A0874">
      <w:pPr>
        <w:spacing w:line="360" w:lineRule="auto"/>
        <w:jc w:val="center"/>
        <w:rPr>
          <w:b/>
          <w:sz w:val="72"/>
          <w:szCs w:val="72"/>
        </w:rPr>
      </w:pPr>
    </w:p>
    <w:p w14:paraId="5102FDEA">
      <w:pPr>
        <w:spacing w:line="360" w:lineRule="auto"/>
        <w:jc w:val="center"/>
        <w:rPr>
          <w:b/>
          <w:sz w:val="72"/>
          <w:szCs w:val="72"/>
        </w:rPr>
      </w:pPr>
    </w:p>
    <w:p w14:paraId="7AD3E78D">
      <w:pPr>
        <w:spacing w:line="360" w:lineRule="auto"/>
        <w:jc w:val="center"/>
        <w:rPr>
          <w:b/>
          <w:sz w:val="72"/>
        </w:rPr>
      </w:pPr>
      <w:r>
        <w:rPr>
          <w:rFonts w:hint="eastAsia"/>
          <w:b/>
          <w:sz w:val="72"/>
        </w:rPr>
        <w:t>设 备 监 造 大 纲</w:t>
      </w:r>
    </w:p>
    <w:p w14:paraId="2E66FB7E">
      <w:pPr>
        <w:spacing w:line="360" w:lineRule="auto"/>
        <w:jc w:val="center"/>
        <w:rPr>
          <w:b/>
          <w:sz w:val="24"/>
        </w:rPr>
      </w:pPr>
    </w:p>
    <w:p w14:paraId="3FCAE093">
      <w:pPr>
        <w:spacing w:line="360" w:lineRule="auto"/>
        <w:jc w:val="center"/>
        <w:rPr>
          <w:rFonts w:hint="eastAsia" w:eastAsia="宋体"/>
          <w:b/>
          <w:sz w:val="28"/>
          <w:szCs w:val="28"/>
          <w:highlight w:val="red"/>
          <w:lang w:eastAsia="zh-CN"/>
        </w:rPr>
      </w:pPr>
      <w:r>
        <w:rPr>
          <w:b/>
          <w:sz w:val="28"/>
        </w:rPr>
        <w:t>版次01</w:t>
      </w:r>
    </w:p>
    <w:p w14:paraId="65162C09">
      <w:pPr>
        <w:spacing w:line="360" w:lineRule="auto"/>
        <w:jc w:val="center"/>
        <w:rPr>
          <w:b/>
          <w:sz w:val="28"/>
          <w:szCs w:val="28"/>
        </w:rPr>
      </w:pPr>
    </w:p>
    <w:p w14:paraId="1EA43DCC">
      <w:pPr>
        <w:spacing w:line="360" w:lineRule="auto"/>
        <w:jc w:val="center"/>
        <w:rPr>
          <w:b/>
          <w:sz w:val="28"/>
          <w:szCs w:val="28"/>
        </w:rPr>
      </w:pPr>
    </w:p>
    <w:tbl>
      <w:tblPr>
        <w:tblStyle w:val="33"/>
        <w:tblW w:w="7119" w:type="dxa"/>
        <w:jc w:val="center"/>
        <w:tblLayout w:type="fixed"/>
        <w:tblCellMar>
          <w:top w:w="0" w:type="dxa"/>
          <w:left w:w="108" w:type="dxa"/>
          <w:bottom w:w="0" w:type="dxa"/>
          <w:right w:w="108" w:type="dxa"/>
        </w:tblCellMar>
      </w:tblPr>
      <w:tblGrid>
        <w:gridCol w:w="2003"/>
        <w:gridCol w:w="5116"/>
      </w:tblGrid>
      <w:tr w14:paraId="5EB16EE3">
        <w:tblPrEx>
          <w:tblCellMar>
            <w:top w:w="0" w:type="dxa"/>
            <w:left w:w="108" w:type="dxa"/>
            <w:bottom w:w="0" w:type="dxa"/>
            <w:right w:w="108" w:type="dxa"/>
          </w:tblCellMar>
        </w:tblPrEx>
        <w:trPr>
          <w:trHeight w:val="594" w:hRule="atLeast"/>
          <w:jc w:val="center"/>
        </w:trPr>
        <w:tc>
          <w:tcPr>
            <w:tcW w:w="2003" w:type="dxa"/>
            <w:shd w:val="clear" w:color="auto" w:fill="auto"/>
            <w:vAlign w:val="center"/>
          </w:tcPr>
          <w:p w14:paraId="1DE37D80">
            <w:pPr>
              <w:spacing w:line="360" w:lineRule="auto"/>
              <w:jc w:val="left"/>
              <w:rPr>
                <w:b/>
                <w:sz w:val="24"/>
              </w:rPr>
            </w:pPr>
            <w:r>
              <w:rPr>
                <w:b/>
                <w:sz w:val="24"/>
              </w:rPr>
              <w:t>项目名称：</w:t>
            </w:r>
          </w:p>
        </w:tc>
        <w:tc>
          <w:tcPr>
            <w:tcW w:w="5116" w:type="dxa"/>
            <w:tcBorders>
              <w:bottom w:val="single" w:color="auto" w:sz="4" w:space="0"/>
            </w:tcBorders>
            <w:shd w:val="clear" w:color="auto" w:fill="auto"/>
            <w:vAlign w:val="center"/>
          </w:tcPr>
          <w:p>
            <w:r>
              <w:rPr>
                <w:rFonts w:ascii="宋体" w:hAnsi="宋体" w:eastAsia="宋体"/>
                <w:sz w:val="21"/>
              </w:rPr>
              <w:t>新特能源晶体硅冷氢化热效能提升项目、新增急冷塔余热换热器降蒸汽项目</w:t>
            </w:r>
          </w:p>
        </w:tc>
      </w:tr>
      <w:tr w14:paraId="15918042">
        <w:tblPrEx>
          <w:tblCellMar>
            <w:top w:w="0" w:type="dxa"/>
            <w:left w:w="108" w:type="dxa"/>
            <w:bottom w:w="0" w:type="dxa"/>
            <w:right w:w="108" w:type="dxa"/>
          </w:tblCellMar>
        </w:tblPrEx>
        <w:trPr>
          <w:trHeight w:val="612" w:hRule="atLeast"/>
          <w:jc w:val="center"/>
        </w:trPr>
        <w:tc>
          <w:tcPr>
            <w:tcW w:w="2003" w:type="dxa"/>
            <w:shd w:val="clear" w:color="auto" w:fill="auto"/>
            <w:vAlign w:val="center"/>
          </w:tcPr>
          <w:p w14:paraId="57F7ECE1">
            <w:pPr>
              <w:spacing w:line="360" w:lineRule="auto"/>
              <w:jc w:val="left"/>
              <w:rPr>
                <w:b/>
                <w:sz w:val="24"/>
              </w:rPr>
            </w:pPr>
            <w:r>
              <w:rPr>
                <w:b/>
                <w:sz w:val="24"/>
              </w:rPr>
              <w:t>设备名称：</w:t>
            </w:r>
          </w:p>
        </w:tc>
        <w:tc>
          <w:tcPr>
            <w:tcW w:w="5116" w:type="dxa"/>
            <w:tcBorders>
              <w:top w:val="single" w:color="auto" w:sz="4" w:space="0"/>
              <w:bottom w:val="single" w:color="auto" w:sz="4" w:space="0"/>
            </w:tcBorders>
            <w:shd w:val="clear" w:color="auto" w:fill="auto"/>
            <w:vAlign w:val="center"/>
          </w:tcPr>
          <w:p>
            <w:r>
              <w:rPr>
                <w:rFonts w:ascii="宋体" w:hAnsi="宋体" w:eastAsia="宋体"/>
                <w:sz w:val="21"/>
              </w:rPr>
              <w:t>急冷塔余热换热器/混合气二级热交换器/混合气三级热交换器</w:t>
            </w:r>
          </w:p>
        </w:tc>
      </w:tr>
    </w:tbl>
    <w:p w14:paraId="09F213A2">
      <w:pPr>
        <w:spacing w:line="360" w:lineRule="auto"/>
        <w:jc w:val="center"/>
        <w:rPr>
          <w:b/>
          <w:sz w:val="28"/>
          <w:szCs w:val="28"/>
        </w:rPr>
      </w:pPr>
    </w:p>
    <w:p w14:paraId="26E7F569">
      <w:pPr>
        <w:spacing w:line="360" w:lineRule="auto"/>
        <w:ind w:firstLine="2409" w:firstLineChars="857"/>
        <w:rPr>
          <w:b/>
          <w:sz w:val="28"/>
          <w:szCs w:val="28"/>
        </w:rPr>
      </w:pPr>
      <w:r>
        <w:rPr>
          <w:rFonts w:hint="eastAsia"/>
          <w:b/>
          <w:sz w:val="28"/>
          <w:szCs w:val="28"/>
        </w:rPr>
        <w:t>业主方审核：</w:t>
      </w:r>
    </w:p>
    <w:p w14:paraId="2BBE8288">
      <w:pPr>
        <w:spacing w:line="360" w:lineRule="auto"/>
        <w:jc w:val="center"/>
        <w:rPr>
          <w:b/>
          <w:sz w:val="28"/>
          <w:szCs w:val="28"/>
        </w:rPr>
      </w:pPr>
    </w:p>
    <w:tbl>
      <w:tblPr>
        <w:tblStyle w:val="33"/>
        <w:tblW w:w="4265" w:type="dxa"/>
        <w:jc w:val="center"/>
        <w:tblLayout w:type="fixed"/>
        <w:tblCellMar>
          <w:top w:w="0" w:type="dxa"/>
          <w:left w:w="108" w:type="dxa"/>
          <w:bottom w:w="0" w:type="dxa"/>
          <w:right w:w="108" w:type="dxa"/>
        </w:tblCellMar>
      </w:tblPr>
      <w:tblGrid>
        <w:gridCol w:w="1147"/>
        <w:gridCol w:w="3118"/>
      </w:tblGrid>
      <w:tr w14:paraId="542D872A">
        <w:tblPrEx>
          <w:tblCellMar>
            <w:top w:w="0" w:type="dxa"/>
            <w:left w:w="108" w:type="dxa"/>
            <w:bottom w:w="0" w:type="dxa"/>
            <w:right w:w="108" w:type="dxa"/>
          </w:tblCellMar>
        </w:tblPrEx>
        <w:trPr>
          <w:trHeight w:val="680" w:hRule="atLeast"/>
          <w:jc w:val="center"/>
        </w:trPr>
        <w:tc>
          <w:tcPr>
            <w:tcW w:w="1147" w:type="dxa"/>
            <w:shd w:val="clear" w:color="auto" w:fill="auto"/>
            <w:vAlign w:val="center"/>
          </w:tcPr>
          <w:p w14:paraId="46A25686">
            <w:pPr>
              <w:spacing w:line="360" w:lineRule="auto"/>
              <w:jc w:val="center"/>
              <w:rPr>
                <w:b/>
                <w:sz w:val="24"/>
              </w:rPr>
            </w:pPr>
            <w:r>
              <w:rPr>
                <w:b/>
                <w:sz w:val="24"/>
              </w:rPr>
              <w:t>编制：</w:t>
            </w:r>
          </w:p>
        </w:tc>
        <w:tc>
          <w:tcPr>
            <w:tcW w:w="3118" w:type="dxa"/>
            <w:tcBorders>
              <w:bottom w:val="single" w:color="auto" w:sz="4" w:space="0"/>
            </w:tcBorders>
            <w:shd w:val="clear" w:color="auto" w:fill="auto"/>
            <w:vAlign w:val="center"/>
          </w:tcPr>
          <w:p w14:paraId="5CDE3895">
            <w:pPr>
              <w:spacing w:line="360" w:lineRule="auto"/>
              <w:jc w:val="center"/>
              <w:rPr>
                <w:sz w:val="24"/>
              </w:rPr>
            </w:pPr>
          </w:p>
        </w:tc>
      </w:tr>
      <w:tr w14:paraId="4BE79CC3">
        <w:tblPrEx>
          <w:tblCellMar>
            <w:top w:w="0" w:type="dxa"/>
            <w:left w:w="108" w:type="dxa"/>
            <w:bottom w:w="0" w:type="dxa"/>
            <w:right w:w="108" w:type="dxa"/>
          </w:tblCellMar>
        </w:tblPrEx>
        <w:trPr>
          <w:trHeight w:val="680" w:hRule="atLeast"/>
          <w:jc w:val="center"/>
        </w:trPr>
        <w:tc>
          <w:tcPr>
            <w:tcW w:w="1147" w:type="dxa"/>
            <w:shd w:val="clear" w:color="auto" w:fill="auto"/>
            <w:vAlign w:val="center"/>
          </w:tcPr>
          <w:p w14:paraId="71A74AB2">
            <w:pPr>
              <w:spacing w:line="360" w:lineRule="auto"/>
              <w:jc w:val="center"/>
              <w:rPr>
                <w:b/>
                <w:sz w:val="24"/>
              </w:rPr>
            </w:pPr>
            <w:r>
              <w:rPr>
                <w:rFonts w:hint="eastAsia"/>
                <w:b/>
                <w:sz w:val="24"/>
              </w:rPr>
              <w:t>审查：</w:t>
            </w:r>
          </w:p>
        </w:tc>
        <w:tc>
          <w:tcPr>
            <w:tcW w:w="3118" w:type="dxa"/>
            <w:tcBorders>
              <w:bottom w:val="single" w:color="auto" w:sz="4" w:space="0"/>
            </w:tcBorders>
            <w:shd w:val="clear" w:color="auto" w:fill="auto"/>
            <w:vAlign w:val="center"/>
          </w:tcPr>
          <w:p w14:paraId="39E972D8">
            <w:pPr>
              <w:jc w:val="center"/>
              <w:rPr>
                <w:sz w:val="24"/>
              </w:rPr>
            </w:pPr>
          </w:p>
        </w:tc>
      </w:tr>
      <w:tr w14:paraId="4F8EF023">
        <w:tblPrEx>
          <w:tblCellMar>
            <w:top w:w="0" w:type="dxa"/>
            <w:left w:w="108" w:type="dxa"/>
            <w:bottom w:w="0" w:type="dxa"/>
            <w:right w:w="108" w:type="dxa"/>
          </w:tblCellMar>
        </w:tblPrEx>
        <w:trPr>
          <w:trHeight w:val="680" w:hRule="atLeast"/>
          <w:jc w:val="center"/>
        </w:trPr>
        <w:tc>
          <w:tcPr>
            <w:tcW w:w="1147" w:type="dxa"/>
            <w:shd w:val="clear" w:color="auto" w:fill="auto"/>
            <w:vAlign w:val="center"/>
          </w:tcPr>
          <w:p w14:paraId="0F75CBF2">
            <w:pPr>
              <w:spacing w:line="360" w:lineRule="auto"/>
              <w:jc w:val="center"/>
              <w:rPr>
                <w:b/>
                <w:sz w:val="24"/>
              </w:rPr>
            </w:pPr>
            <w:r>
              <w:rPr>
                <w:b/>
                <w:sz w:val="24"/>
              </w:rPr>
              <w:t>批准：</w:t>
            </w:r>
          </w:p>
        </w:tc>
        <w:tc>
          <w:tcPr>
            <w:tcW w:w="3118" w:type="dxa"/>
            <w:tcBorders>
              <w:top w:val="single" w:color="auto" w:sz="4" w:space="0"/>
              <w:bottom w:val="single" w:color="auto" w:sz="4" w:space="0"/>
            </w:tcBorders>
            <w:shd w:val="clear" w:color="auto" w:fill="auto"/>
            <w:vAlign w:val="center"/>
          </w:tcPr>
          <w:p w14:paraId="351DB3FE">
            <w:pPr>
              <w:jc w:val="center"/>
              <w:rPr>
                <w:sz w:val="24"/>
              </w:rPr>
            </w:pPr>
          </w:p>
        </w:tc>
      </w:tr>
    </w:tbl>
    <w:p w14:paraId="399F58E4">
      <w:pPr>
        <w:spacing w:line="360" w:lineRule="auto"/>
        <w:ind w:firstLine="3204" w:firstLineChars="1140"/>
        <w:rPr>
          <w:b/>
          <w:sz w:val="28"/>
          <w:szCs w:val="28"/>
        </w:rPr>
      </w:pPr>
    </w:p>
    <w:p w14:paraId="3121E511">
      <w:pPr>
        <w:spacing w:line="360" w:lineRule="auto"/>
        <w:rPr>
          <w:b/>
          <w:sz w:val="28"/>
          <w:szCs w:val="36"/>
        </w:rPr>
      </w:pPr>
    </w:p>
    <w:p w14:paraId="7C5D8687">
      <w:pPr>
        <w:spacing w:line="360" w:lineRule="auto"/>
        <w:jc w:val="center"/>
        <w:rPr>
          <w:b/>
          <w:sz w:val="32"/>
        </w:rPr>
      </w:pPr>
      <w:r>
        <w:rPr>
          <w:rFonts w:hint="eastAsia"/>
          <w:b/>
          <w:sz w:val="32"/>
        </w:rPr>
        <w:t>南京三方化工设备</w:t>
      </w:r>
      <w:r>
        <w:rPr>
          <w:b/>
          <w:sz w:val="32"/>
        </w:rPr>
        <w:t>监理有限公司</w:t>
      </w:r>
    </w:p>
    <w:p w14:paraId="2AFEE294">
      <w:pPr>
        <w:spacing w:before="312" w:beforeLines="100" w:line="320" w:lineRule="exact"/>
        <w:ind w:firstLine="210"/>
        <w:jc w:val="center"/>
        <w:rPr>
          <w:b/>
          <w:bCs/>
          <w:sz w:val="28"/>
        </w:rPr>
      </w:pPr>
      <w:r>
        <w:rPr>
          <w:b/>
          <w:bCs/>
          <w:sz w:val="28"/>
        </w:rPr>
        <w:t>202</w:t>
      </w:r>
      <w:r>
        <w:rPr>
          <w:rFonts w:hint="eastAsia"/>
          <w:b/>
          <w:bCs/>
          <w:sz w:val="28"/>
        </w:rPr>
        <w:t>4</w:t>
      </w:r>
      <w:r>
        <w:rPr>
          <w:b/>
          <w:bCs/>
          <w:sz w:val="28"/>
        </w:rPr>
        <w:t>年</w:t>
      </w:r>
      <w:r>
        <w:rPr>
          <w:rFonts w:hint="eastAsia"/>
          <w:b/>
          <w:bCs/>
          <w:sz w:val="28"/>
        </w:rPr>
        <w:t>8</w:t>
      </w:r>
      <w:r>
        <w:rPr>
          <w:b/>
          <w:bCs/>
          <w:sz w:val="28"/>
        </w:rPr>
        <w:t>月</w:t>
      </w:r>
    </w:p>
    <w:p w14:paraId="0F471339">
      <w:pPr>
        <w:pStyle w:val="25"/>
        <w:tabs>
          <w:tab w:val="left" w:pos="652"/>
          <w:tab w:val="right" w:leader="dot" w:pos="9344"/>
        </w:tabs>
        <w:spacing w:before="0" w:after="0" w:line="276" w:lineRule="auto"/>
        <w:jc w:val="center"/>
        <w:rPr>
          <w:b/>
          <w:sz w:val="28"/>
          <w:lang w:val="zh-CN"/>
        </w:rPr>
      </w:pPr>
    </w:p>
    <w:p w14:paraId="34B921D0">
      <w:pPr>
        <w:pStyle w:val="25"/>
        <w:tabs>
          <w:tab w:val="left" w:pos="652"/>
          <w:tab w:val="right" w:leader="dot" w:pos="9344"/>
        </w:tabs>
        <w:spacing w:before="0" w:after="0" w:line="276" w:lineRule="auto"/>
        <w:jc w:val="center"/>
        <w:rPr>
          <w:b/>
          <w:sz w:val="28"/>
          <w:lang w:val="zh-CN"/>
        </w:rPr>
      </w:pPr>
      <w:r>
        <w:rPr>
          <w:b/>
          <w:sz w:val="28"/>
          <w:lang w:val="zh-CN"/>
        </w:rPr>
        <w:t>目</w:t>
      </w:r>
      <w:r>
        <w:rPr>
          <w:rFonts w:hint="eastAsia"/>
          <w:b/>
          <w:sz w:val="28"/>
          <w:lang w:val="zh-CN"/>
        </w:rPr>
        <w:t xml:space="preserve">  </w:t>
      </w:r>
      <w:r>
        <w:rPr>
          <w:b/>
          <w:sz w:val="28"/>
          <w:lang w:val="zh-CN"/>
        </w:rPr>
        <w:t>录</w:t>
      </w:r>
    </w:p>
    <w:p w14:paraId="477AC7E2">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rPr>
          <w:b/>
          <w:szCs w:val="21"/>
        </w:rPr>
        <w:fldChar w:fldCharType="begin"/>
      </w:r>
      <w:r>
        <w:rPr>
          <w:b/>
          <w:szCs w:val="21"/>
        </w:rPr>
        <w:instrText xml:space="preserve"> </w:instrText>
      </w:r>
      <w:r>
        <w:rPr>
          <w:rFonts w:hint="eastAsia"/>
          <w:b/>
          <w:szCs w:val="21"/>
        </w:rPr>
        <w:instrText xml:space="preserve">TOC \o "1-3" \h \z \u</w:instrText>
      </w:r>
      <w:r>
        <w:rPr>
          <w:b/>
          <w:szCs w:val="21"/>
        </w:rPr>
        <w:instrText xml:space="preserve"> </w:instrText>
      </w:r>
      <w:r>
        <w:rPr>
          <w:b/>
          <w:szCs w:val="21"/>
        </w:rPr>
        <w:fldChar w:fldCharType="separate"/>
      </w:r>
      <w:r>
        <w:fldChar w:fldCharType="begin"/>
      </w:r>
      <w:r>
        <w:instrText xml:space="preserve"> HYPERLINK \l "_Toc176165874" </w:instrText>
      </w:r>
      <w:r>
        <w:fldChar w:fldCharType="separate"/>
      </w:r>
      <w:r>
        <w:rPr>
          <w:rStyle w:val="39"/>
          <w:rFonts w:hint="eastAsia"/>
          <w:b/>
          <w:sz w:val="24"/>
          <w:szCs w:val="24"/>
        </w:rPr>
        <w:t>一、</w:t>
      </w:r>
      <w:r>
        <w:rPr>
          <w:rFonts w:hint="eastAsia" w:asciiTheme="minorHAnsi" w:hAnsiTheme="minorHAnsi" w:eastAsiaTheme="minorEastAsia" w:cstheme="minorBidi"/>
          <w:bCs w:val="0"/>
          <w:caps w:val="0"/>
          <w:sz w:val="24"/>
          <w:szCs w:val="24"/>
          <w14:ligatures w14:val="standardContextual"/>
        </w:rPr>
        <w:tab/>
      </w:r>
      <w:r>
        <w:rPr>
          <w:rStyle w:val="39"/>
          <w:rFonts w:hint="eastAsia"/>
          <w:b/>
          <w:sz w:val="24"/>
          <w:szCs w:val="24"/>
        </w:rPr>
        <w:t>编制说明</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_Toc176165874 \h</w:instrText>
      </w:r>
      <w:r>
        <w:rPr>
          <w:rFonts w:hint="eastAsia"/>
          <w:sz w:val="24"/>
          <w:szCs w:val="24"/>
        </w:rPr>
        <w:instrText xml:space="preserve"> </w:instrText>
      </w:r>
      <w:r>
        <w:rPr>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4C52F6BA">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"_Toc176165875" </w:instrText>
      </w:r>
      <w:r>
        <w:fldChar w:fldCharType="separate"/>
      </w:r>
      <w:r>
        <w:rPr>
          <w:rStyle w:val="39"/>
          <w:rFonts w:hint="eastAsia"/>
          <w:b/>
          <w:sz w:val="24"/>
          <w:szCs w:val="24"/>
        </w:rPr>
        <w:t>二、</w:t>
      </w:r>
      <w:r>
        <w:rPr>
          <w:rFonts w:hint="eastAsia" w:asciiTheme="minorHAnsi" w:hAnsiTheme="minorHAnsi" w:eastAsiaTheme="minorEastAsia" w:cstheme="minorBidi"/>
          <w:bCs w:val="0"/>
          <w:caps w:val="0"/>
          <w:sz w:val="24"/>
          <w:szCs w:val="24"/>
          <w14:ligatures w14:val="standardContextual"/>
        </w:rPr>
        <w:tab/>
      </w:r>
      <w:r>
        <w:rPr>
          <w:rStyle w:val="39"/>
          <w:rFonts w:hint="eastAsia"/>
          <w:b/>
          <w:sz w:val="24"/>
          <w:szCs w:val="24"/>
        </w:rPr>
        <w:t>监理工作依据</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_Toc176165875 \h</w:instrText>
      </w:r>
      <w:r>
        <w:rPr>
          <w:rFonts w:hint="eastAsia"/>
          <w:sz w:val="24"/>
          <w:szCs w:val="24"/>
        </w:rPr>
        <w:instrText xml:space="preserve"> </w:instrText>
      </w:r>
      <w:r>
        <w:rPr>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25D01E4E">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"_Toc176165876" </w:instrText>
      </w:r>
      <w:r>
        <w:fldChar w:fldCharType="separate"/>
      </w:r>
      <w:r>
        <w:rPr>
          <w:rStyle w:val="39"/>
          <w:rFonts w:hint="eastAsia" w:ascii="宋体" w:hAnsi="宋体"/>
          <w:b/>
          <w:sz w:val="24"/>
          <w:szCs w:val="24"/>
        </w:rPr>
        <w:t>三、</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监理工作范围</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_Toc176165876 \h</w:instrText>
      </w:r>
      <w:r>
        <w:rPr>
          <w:rFonts w:hint="eastAsia"/>
          <w:sz w:val="24"/>
          <w:szCs w:val="24"/>
        </w:rPr>
        <w:instrText xml:space="preserve"> </w:instrText>
      </w:r>
      <w:r>
        <w:rPr>
          <w:sz w:val="24"/>
          <w:szCs w:val="24"/>
        </w:rPr>
        <w:fldChar w:fldCharType="separate"/>
      </w:r>
      <w:r>
        <w:rPr>
          <w:sz w:val="24"/>
          <w:szCs w:val="24"/>
        </w:rPr>
        <w:t>4</w:t>
      </w:r>
      <w:r>
        <w:rPr>
          <w:rFonts w:hint="eastAsia"/>
          <w:sz w:val="24"/>
          <w:szCs w:val="24"/>
        </w:rPr>
        <w:fldChar w:fldCharType="end"/>
      </w:r>
      <w:r>
        <w:rPr>
          <w:rFonts w:hint="eastAsia"/>
          <w:sz w:val="24"/>
          <w:szCs w:val="24"/>
        </w:rPr>
        <w:fldChar w:fldCharType="end"/>
      </w:r>
    </w:p>
    <w:p w14:paraId="3C275CEB">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"_Toc176165877" </w:instrText>
      </w:r>
      <w:r>
        <w:fldChar w:fldCharType="separate"/>
      </w:r>
      <w:r>
        <w:rPr>
          <w:rStyle w:val="39"/>
          <w:rFonts w:hint="eastAsia" w:ascii="宋体" w:hAnsi="宋体"/>
          <w:b/>
          <w:sz w:val="24"/>
          <w:szCs w:val="24"/>
        </w:rPr>
        <w:t>四、</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监理项目组织机构及人员配备原则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_Toc176165877 \h</w:instrText>
      </w:r>
      <w:r>
        <w:rPr>
          <w:rFonts w:hint="eastAsia"/>
          <w:sz w:val="24"/>
          <w:szCs w:val="24"/>
        </w:rPr>
        <w:instrText xml:space="preserve"> </w:instrText>
      </w:r>
      <w:r>
        <w:rPr>
          <w:sz w:val="24"/>
          <w:szCs w:val="24"/>
        </w:rPr>
        <w:fldChar w:fldCharType="separate"/>
      </w:r>
      <w:r>
        <w:rPr>
          <w:sz w:val="24"/>
          <w:szCs w:val="24"/>
        </w:rPr>
        <w:t>4</w:t>
      </w:r>
      <w:r>
        <w:rPr>
          <w:rFonts w:hint="eastAsia"/>
          <w:sz w:val="24"/>
          <w:szCs w:val="24"/>
        </w:rPr>
        <w:fldChar w:fldCharType="end"/>
      </w:r>
      <w:r>
        <w:rPr>
          <w:rFonts w:hint="eastAsia"/>
          <w:sz w:val="24"/>
          <w:szCs w:val="24"/>
        </w:rPr>
        <w:fldChar w:fldCharType="end"/>
      </w:r>
    </w:p>
    <w:p w14:paraId="4D248141">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"_Toc176165878" </w:instrText>
      </w:r>
      <w:r>
        <w:fldChar w:fldCharType="separate"/>
      </w:r>
      <w:r>
        <w:rPr>
          <w:rStyle w:val="39"/>
          <w:rFonts w:hint="eastAsia" w:ascii="宋体" w:hAnsi="宋体"/>
          <w:b/>
          <w:sz w:val="24"/>
          <w:szCs w:val="24"/>
        </w:rPr>
        <w:t>五、</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监造人员的工作职责</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_Toc176165878 \h</w:instrText>
      </w:r>
      <w:r>
        <w:rPr>
          <w:rFonts w:hint="eastAsia"/>
          <w:sz w:val="24"/>
          <w:szCs w:val="24"/>
        </w:rPr>
        <w:instrText xml:space="preserve"> </w:instrText>
      </w:r>
      <w:r>
        <w:rPr>
          <w:sz w:val="24"/>
          <w:szCs w:val="24"/>
        </w:rPr>
        <w:fldChar w:fldCharType="separate"/>
      </w:r>
      <w:r>
        <w:rPr>
          <w:sz w:val="24"/>
          <w:szCs w:val="24"/>
        </w:rPr>
        <w:t>5</w:t>
      </w:r>
      <w:r>
        <w:rPr>
          <w:rFonts w:hint="eastAsia"/>
          <w:sz w:val="24"/>
          <w:szCs w:val="24"/>
        </w:rPr>
        <w:fldChar w:fldCharType="end"/>
      </w:r>
      <w:r>
        <w:rPr>
          <w:rFonts w:hint="eastAsia"/>
          <w:sz w:val="24"/>
          <w:szCs w:val="24"/>
        </w:rPr>
        <w:fldChar w:fldCharType="end"/>
      </w:r>
    </w:p>
    <w:p w14:paraId="0C7F8B4F">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"_Toc176165879" </w:instrText>
      </w:r>
      <w:r>
        <w:fldChar w:fldCharType="separate"/>
      </w:r>
      <w:r>
        <w:rPr>
          <w:rStyle w:val="39"/>
          <w:rFonts w:hint="eastAsia" w:ascii="宋体" w:hAnsi="宋体"/>
          <w:b/>
          <w:sz w:val="24"/>
          <w:szCs w:val="24"/>
        </w:rPr>
        <w:t>六、</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监理工作开展的资金保障控制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_Toc176165879 \h</w:instrText>
      </w:r>
      <w:r>
        <w:rPr>
          <w:rFonts w:hint="eastAsia"/>
          <w:sz w:val="24"/>
          <w:szCs w:val="24"/>
        </w:rPr>
        <w:instrText xml:space="preserve"> </w:instrText>
      </w:r>
      <w:r>
        <w:rPr>
          <w:sz w:val="24"/>
          <w:szCs w:val="24"/>
        </w:rPr>
        <w:fldChar w:fldCharType="separate"/>
      </w:r>
      <w:r>
        <w:rPr>
          <w:sz w:val="24"/>
          <w:szCs w:val="24"/>
        </w:rPr>
        <w:t>6</w:t>
      </w:r>
      <w:r>
        <w:rPr>
          <w:rFonts w:hint="eastAsia"/>
          <w:sz w:val="24"/>
          <w:szCs w:val="24"/>
        </w:rPr>
        <w:fldChar w:fldCharType="end"/>
      </w:r>
      <w:r>
        <w:rPr>
          <w:rFonts w:hint="eastAsia"/>
          <w:sz w:val="24"/>
          <w:szCs w:val="24"/>
        </w:rPr>
        <w:fldChar w:fldCharType="end"/>
      </w:r>
    </w:p>
    <w:p w14:paraId="1410105F">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"_Toc176165880" </w:instrText>
      </w:r>
      <w:r>
        <w:fldChar w:fldCharType="separate"/>
      </w:r>
      <w:r>
        <w:rPr>
          <w:rStyle w:val="39"/>
          <w:rFonts w:hint="eastAsia" w:ascii="宋体" w:hAnsi="宋体"/>
          <w:b/>
          <w:sz w:val="24"/>
          <w:szCs w:val="24"/>
        </w:rPr>
        <w:t>七、</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现场监造人员的安全管理措施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_Toc176165880 \h</w:instrText>
      </w:r>
      <w:r>
        <w:rPr>
          <w:rFonts w:hint="eastAsia"/>
          <w:sz w:val="24"/>
          <w:szCs w:val="24"/>
        </w:rPr>
        <w:instrText xml:space="preserve"> </w:instrText>
      </w:r>
      <w:r>
        <w:rPr>
          <w:sz w:val="24"/>
          <w:szCs w:val="24"/>
        </w:rPr>
        <w:fldChar w:fldCharType="separate"/>
      </w:r>
      <w:r>
        <w:rPr>
          <w:sz w:val="24"/>
          <w:szCs w:val="24"/>
        </w:rPr>
        <w:t>7</w:t>
      </w:r>
      <w:r>
        <w:rPr>
          <w:rFonts w:hint="eastAsia"/>
          <w:sz w:val="24"/>
          <w:szCs w:val="24"/>
        </w:rPr>
        <w:fldChar w:fldCharType="end"/>
      </w:r>
      <w:r>
        <w:rPr>
          <w:rFonts w:hint="eastAsia"/>
          <w:sz w:val="24"/>
          <w:szCs w:val="24"/>
        </w:rPr>
        <w:fldChar w:fldCharType="end"/>
      </w:r>
    </w:p>
    <w:p w14:paraId="4750C89B">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"_Toc176165881" </w:instrText>
      </w:r>
      <w:r>
        <w:fldChar w:fldCharType="separate"/>
      </w:r>
      <w:r>
        <w:rPr>
          <w:rStyle w:val="39"/>
          <w:rFonts w:hint="eastAsia" w:ascii="宋体" w:hAnsi="宋体"/>
          <w:b/>
          <w:sz w:val="24"/>
          <w:szCs w:val="24"/>
        </w:rPr>
        <w:t>八、</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监理工作目标和标准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_Toc176165881 \h</w:instrText>
      </w:r>
      <w:r>
        <w:rPr>
          <w:rFonts w:hint="eastAsia"/>
          <w:sz w:val="24"/>
          <w:szCs w:val="24"/>
        </w:rPr>
        <w:instrText xml:space="preserve"> </w:instrText>
      </w:r>
      <w:r>
        <w:rPr>
          <w:sz w:val="24"/>
          <w:szCs w:val="24"/>
        </w:rPr>
        <w:fldChar w:fldCharType="separate"/>
      </w:r>
      <w:r>
        <w:rPr>
          <w:sz w:val="24"/>
          <w:szCs w:val="24"/>
        </w:rPr>
        <w:t>8</w:t>
      </w:r>
      <w:r>
        <w:rPr>
          <w:rFonts w:hint="eastAsia"/>
          <w:sz w:val="24"/>
          <w:szCs w:val="24"/>
        </w:rPr>
        <w:fldChar w:fldCharType="end"/>
      </w:r>
      <w:r>
        <w:rPr>
          <w:rFonts w:hint="eastAsia"/>
          <w:sz w:val="24"/>
          <w:szCs w:val="24"/>
        </w:rPr>
        <w:fldChar w:fldCharType="end"/>
      </w:r>
    </w:p>
    <w:p w14:paraId="012CAFB7">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"_Toc176165882" </w:instrText>
      </w:r>
      <w:r>
        <w:fldChar w:fldCharType="separate"/>
      </w:r>
      <w:r>
        <w:rPr>
          <w:rStyle w:val="39"/>
          <w:rFonts w:hint="eastAsia" w:ascii="宋体" w:hAnsi="宋体"/>
          <w:b/>
          <w:sz w:val="24"/>
          <w:szCs w:val="24"/>
        </w:rPr>
        <w:t>九、</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质量保证措施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_Toc176165882 \h</w:instrText>
      </w:r>
      <w:r>
        <w:rPr>
          <w:rFonts w:hint="eastAsia"/>
          <w:sz w:val="24"/>
          <w:szCs w:val="24"/>
        </w:rPr>
        <w:instrText xml:space="preserve"> </w:instrText>
      </w:r>
      <w:r>
        <w:rPr>
          <w:sz w:val="24"/>
          <w:szCs w:val="24"/>
        </w:rPr>
        <w:fldChar w:fldCharType="separate"/>
      </w:r>
      <w:r>
        <w:rPr>
          <w:sz w:val="24"/>
          <w:szCs w:val="24"/>
        </w:rPr>
        <w:t>9</w:t>
      </w:r>
      <w:r>
        <w:rPr>
          <w:rFonts w:hint="eastAsia"/>
          <w:sz w:val="24"/>
          <w:szCs w:val="24"/>
        </w:rPr>
        <w:fldChar w:fldCharType="end"/>
      </w:r>
      <w:r>
        <w:rPr>
          <w:rFonts w:hint="eastAsia"/>
          <w:sz w:val="24"/>
          <w:szCs w:val="24"/>
        </w:rPr>
        <w:fldChar w:fldCharType="end"/>
      </w:r>
    </w:p>
    <w:p w14:paraId="2A5DA4F2">
      <w:pPr>
        <w:pStyle w:val="25"/>
        <w:tabs>
          <w:tab w:val="left" w:pos="63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"_Toc176165883" </w:instrText>
      </w:r>
      <w:r>
        <w:fldChar w:fldCharType="separate"/>
      </w:r>
      <w:r>
        <w:rPr>
          <w:rStyle w:val="39"/>
          <w:rFonts w:hint="eastAsia" w:ascii="宋体" w:hAnsi="宋体"/>
          <w:b/>
          <w:sz w:val="24"/>
          <w:szCs w:val="24"/>
        </w:rPr>
        <w:t>十、</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处理质量异常的措施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_Toc176165883 \h</w:instrText>
      </w:r>
      <w:r>
        <w:rPr>
          <w:rFonts w:hint="eastAsia"/>
          <w:sz w:val="24"/>
          <w:szCs w:val="24"/>
        </w:rPr>
        <w:instrText xml:space="preserve"> </w:instrText>
      </w:r>
      <w:r>
        <w:rPr>
          <w:sz w:val="24"/>
          <w:szCs w:val="24"/>
        </w:rPr>
        <w:fldChar w:fldCharType="separate"/>
      </w:r>
      <w:r>
        <w:rPr>
          <w:sz w:val="24"/>
          <w:szCs w:val="24"/>
        </w:rPr>
        <w:t>10</w:t>
      </w:r>
      <w:r>
        <w:rPr>
          <w:rFonts w:hint="eastAsia"/>
          <w:sz w:val="24"/>
          <w:szCs w:val="24"/>
        </w:rPr>
        <w:fldChar w:fldCharType="end"/>
      </w:r>
      <w:r>
        <w:rPr>
          <w:rFonts w:hint="eastAsia"/>
          <w:sz w:val="24"/>
          <w:szCs w:val="24"/>
        </w:rPr>
        <w:fldChar w:fldCharType="end"/>
      </w:r>
    </w:p>
    <w:p w14:paraId="4923BD31">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"_Toc176165884" </w:instrText>
      </w:r>
      <w:r>
        <w:fldChar w:fldCharType="separate"/>
      </w:r>
      <w:r>
        <w:rPr>
          <w:rStyle w:val="39"/>
          <w:rFonts w:hint="eastAsia"/>
          <w:b/>
          <w:sz w:val="24"/>
          <w:szCs w:val="24"/>
        </w:rPr>
        <w:t>十一、</w:t>
      </w:r>
      <w:r>
        <w:rPr>
          <w:rFonts w:hint="eastAsia" w:asciiTheme="minorHAnsi" w:hAnsiTheme="minorHAnsi" w:eastAsiaTheme="minorEastAsia" w:cstheme="minorBidi"/>
          <w:bCs w:val="0"/>
          <w:caps w:val="0"/>
          <w:sz w:val="24"/>
          <w:szCs w:val="24"/>
          <w14:ligatures w14:val="standardContextual"/>
        </w:rPr>
        <w:tab/>
      </w:r>
      <w:r>
        <w:rPr>
          <w:rStyle w:val="39"/>
          <w:rFonts w:hint="eastAsia"/>
          <w:b/>
          <w:sz w:val="24"/>
          <w:szCs w:val="24"/>
        </w:rPr>
        <w:t>监理工作要点</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_Toc176165884 \h</w:instrText>
      </w:r>
      <w:r>
        <w:rPr>
          <w:rFonts w:hint="eastAsia"/>
          <w:sz w:val="24"/>
          <w:szCs w:val="24"/>
        </w:rPr>
        <w:instrText xml:space="preserve"> </w:instrText>
      </w:r>
      <w:r>
        <w:rPr>
          <w:sz w:val="24"/>
          <w:szCs w:val="24"/>
        </w:rPr>
        <w:fldChar w:fldCharType="separate"/>
      </w:r>
      <w:r>
        <w:rPr>
          <w:sz w:val="24"/>
          <w:szCs w:val="24"/>
        </w:rPr>
        <w:t>11</w:t>
      </w:r>
      <w:r>
        <w:rPr>
          <w:rFonts w:hint="eastAsia"/>
          <w:sz w:val="24"/>
          <w:szCs w:val="24"/>
        </w:rPr>
        <w:fldChar w:fldCharType="end"/>
      </w:r>
      <w:r>
        <w:rPr>
          <w:rFonts w:hint="eastAsia"/>
          <w:sz w:val="24"/>
          <w:szCs w:val="24"/>
        </w:rPr>
        <w:fldChar w:fldCharType="end"/>
      </w:r>
    </w:p>
    <w:p w14:paraId="78DDE681">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"_Toc176165899" </w:instrText>
      </w:r>
      <w:r>
        <w:fldChar w:fldCharType="separate"/>
      </w:r>
      <w:r>
        <w:rPr>
          <w:rStyle w:val="39"/>
          <w:rFonts w:hint="eastAsia" w:ascii="宋体" w:hAnsi="宋体"/>
          <w:b/>
          <w:sz w:val="24"/>
          <w:szCs w:val="24"/>
        </w:rPr>
        <w:t>十二、</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监理记录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_Toc176165899 \h</w:instrText>
      </w:r>
      <w:r>
        <w:rPr>
          <w:rFonts w:hint="eastAsia"/>
          <w:sz w:val="24"/>
          <w:szCs w:val="24"/>
        </w:rPr>
        <w:instrText xml:space="preserve"> </w:instrText>
      </w:r>
      <w:r>
        <w:rPr>
          <w:sz w:val="24"/>
          <w:szCs w:val="24"/>
        </w:rPr>
        <w:fldChar w:fldCharType="separate"/>
      </w:r>
      <w:r>
        <w:rPr>
          <w:sz w:val="24"/>
          <w:szCs w:val="24"/>
        </w:rPr>
        <w:t>16</w:t>
      </w:r>
      <w:r>
        <w:rPr>
          <w:rFonts w:hint="eastAsia"/>
          <w:sz w:val="24"/>
          <w:szCs w:val="24"/>
        </w:rPr>
        <w:fldChar w:fldCharType="end"/>
      </w:r>
      <w:r>
        <w:rPr>
          <w:rFonts w:hint="eastAsia"/>
          <w:sz w:val="24"/>
          <w:szCs w:val="24"/>
        </w:rPr>
        <w:fldChar w:fldCharType="end"/>
      </w:r>
    </w:p>
    <w:p w14:paraId="73E0D8F3">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"_Toc176165900" </w:instrText>
      </w:r>
      <w:r>
        <w:fldChar w:fldCharType="separate"/>
      </w:r>
      <w:r>
        <w:rPr>
          <w:rStyle w:val="39"/>
          <w:rFonts w:hint="eastAsia" w:ascii="宋体" w:hAnsi="宋体"/>
          <w:b/>
          <w:sz w:val="24"/>
          <w:szCs w:val="24"/>
        </w:rPr>
        <w:t>十三、</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监理周报、周例会、监理放行单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_Toc176165900 \h</w:instrText>
      </w:r>
      <w:r>
        <w:rPr>
          <w:rFonts w:hint="eastAsia"/>
          <w:sz w:val="24"/>
          <w:szCs w:val="24"/>
        </w:rPr>
        <w:instrText xml:space="preserve"> </w:instrText>
      </w:r>
      <w:r>
        <w:rPr>
          <w:sz w:val="24"/>
          <w:szCs w:val="24"/>
        </w:rPr>
        <w:fldChar w:fldCharType="separate"/>
      </w:r>
      <w:r>
        <w:rPr>
          <w:sz w:val="24"/>
          <w:szCs w:val="24"/>
        </w:rPr>
        <w:t>16</w:t>
      </w:r>
      <w:r>
        <w:rPr>
          <w:rFonts w:hint="eastAsia"/>
          <w:sz w:val="24"/>
          <w:szCs w:val="24"/>
        </w:rPr>
        <w:fldChar w:fldCharType="end"/>
      </w:r>
      <w:r>
        <w:rPr>
          <w:rFonts w:hint="eastAsia"/>
          <w:sz w:val="24"/>
          <w:szCs w:val="24"/>
        </w:rPr>
        <w:fldChar w:fldCharType="end"/>
      </w:r>
    </w:p>
    <w:p w14:paraId="13EFC64F">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"_Toc176165901" </w:instrText>
      </w:r>
      <w:r>
        <w:fldChar w:fldCharType="separate"/>
      </w:r>
      <w:r>
        <w:rPr>
          <w:rStyle w:val="39"/>
          <w:rFonts w:hint="eastAsia" w:ascii="宋体" w:hAnsi="宋体"/>
          <w:b/>
          <w:sz w:val="24"/>
          <w:szCs w:val="24"/>
        </w:rPr>
        <w:t>十四、</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最终监理资料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_Toc176165901 \h</w:instrText>
      </w:r>
      <w:r>
        <w:rPr>
          <w:rFonts w:hint="eastAsia"/>
          <w:sz w:val="24"/>
          <w:szCs w:val="24"/>
        </w:rPr>
        <w:instrText xml:space="preserve"> </w:instrText>
      </w:r>
      <w:r>
        <w:rPr>
          <w:sz w:val="24"/>
          <w:szCs w:val="24"/>
        </w:rPr>
        <w:fldChar w:fldCharType="separate"/>
      </w:r>
      <w:r>
        <w:rPr>
          <w:sz w:val="24"/>
          <w:szCs w:val="24"/>
        </w:rPr>
        <w:t>16</w:t>
      </w:r>
      <w:r>
        <w:rPr>
          <w:rFonts w:hint="eastAsia"/>
          <w:sz w:val="24"/>
          <w:szCs w:val="24"/>
        </w:rPr>
        <w:fldChar w:fldCharType="end"/>
      </w:r>
      <w:r>
        <w:rPr>
          <w:rFonts w:hint="eastAsia"/>
          <w:sz w:val="24"/>
          <w:szCs w:val="24"/>
        </w:rPr>
        <w:fldChar w:fldCharType="end"/>
      </w:r>
    </w:p>
    <w:p w14:paraId="70978B0E">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"_Toc176165902" </w:instrText>
      </w:r>
      <w:r>
        <w:fldChar w:fldCharType="separate"/>
      </w:r>
      <w:r>
        <w:rPr>
          <w:rStyle w:val="39"/>
          <w:rFonts w:hint="eastAsia" w:ascii="宋体" w:hAnsi="宋体"/>
          <w:b/>
          <w:sz w:val="24"/>
          <w:szCs w:val="24"/>
        </w:rPr>
        <w:t>十五、</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进度控制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_Toc176165902 \h</w:instrText>
      </w:r>
      <w:r>
        <w:rPr>
          <w:rFonts w:hint="eastAsia"/>
          <w:sz w:val="24"/>
          <w:szCs w:val="24"/>
        </w:rPr>
        <w:instrText xml:space="preserve"> </w:instrText>
      </w:r>
      <w:r>
        <w:rPr>
          <w:sz w:val="24"/>
          <w:szCs w:val="24"/>
        </w:rPr>
        <w:fldChar w:fldCharType="separate"/>
      </w:r>
      <w:r>
        <w:rPr>
          <w:sz w:val="24"/>
          <w:szCs w:val="24"/>
        </w:rPr>
        <w:t>17</w:t>
      </w:r>
      <w:r>
        <w:rPr>
          <w:rFonts w:hint="eastAsia"/>
          <w:sz w:val="24"/>
          <w:szCs w:val="24"/>
        </w:rPr>
        <w:fldChar w:fldCharType="end"/>
      </w:r>
      <w:r>
        <w:rPr>
          <w:rFonts w:hint="eastAsia"/>
          <w:sz w:val="24"/>
          <w:szCs w:val="24"/>
        </w:rPr>
        <w:fldChar w:fldCharType="end"/>
      </w:r>
    </w:p>
    <w:p w14:paraId="00BE876F">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"_Toc176165903" </w:instrText>
      </w:r>
      <w:r>
        <w:fldChar w:fldCharType="separate"/>
      </w:r>
      <w:r>
        <w:rPr>
          <w:rStyle w:val="39"/>
          <w:rFonts w:hint="eastAsia" w:ascii="宋体" w:hAnsi="宋体"/>
          <w:b/>
          <w:sz w:val="24"/>
          <w:szCs w:val="24"/>
        </w:rPr>
        <w:t>十六、</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合同管理、信息管理及组织协调</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_Toc176165903 \h</w:instrText>
      </w:r>
      <w:r>
        <w:rPr>
          <w:rFonts w:hint="eastAsia"/>
          <w:sz w:val="24"/>
          <w:szCs w:val="24"/>
        </w:rPr>
        <w:instrText xml:space="preserve"> </w:instrText>
      </w:r>
      <w:r>
        <w:rPr>
          <w:sz w:val="24"/>
          <w:szCs w:val="24"/>
        </w:rPr>
        <w:fldChar w:fldCharType="separate"/>
      </w:r>
      <w:r>
        <w:rPr>
          <w:sz w:val="24"/>
          <w:szCs w:val="24"/>
        </w:rPr>
        <w:t>17</w:t>
      </w:r>
      <w:r>
        <w:rPr>
          <w:rFonts w:hint="eastAsia"/>
          <w:sz w:val="24"/>
          <w:szCs w:val="24"/>
        </w:rPr>
        <w:fldChar w:fldCharType="end"/>
      </w:r>
      <w:r>
        <w:rPr>
          <w:rFonts w:hint="eastAsia"/>
          <w:sz w:val="24"/>
          <w:szCs w:val="24"/>
        </w:rPr>
        <w:fldChar w:fldCharType="end"/>
      </w:r>
    </w:p>
    <w:p w14:paraId="285E5DCE">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"_Toc176165904" </w:instrText>
      </w:r>
      <w:r>
        <w:fldChar w:fldCharType="separate"/>
      </w:r>
      <w:r>
        <w:rPr>
          <w:rStyle w:val="39"/>
          <w:rFonts w:hint="eastAsia" w:ascii="宋体" w:hAnsi="宋体"/>
          <w:b/>
          <w:sz w:val="24"/>
          <w:szCs w:val="24"/>
        </w:rPr>
        <w:t>十七、</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环境、安全控制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_Toc176165904 \h</w:instrText>
      </w:r>
      <w:r>
        <w:rPr>
          <w:rFonts w:hint="eastAsia"/>
          <w:sz w:val="24"/>
          <w:szCs w:val="24"/>
        </w:rPr>
        <w:instrText xml:space="preserve"> </w:instrText>
      </w:r>
      <w:r>
        <w:rPr>
          <w:sz w:val="24"/>
          <w:szCs w:val="24"/>
        </w:rPr>
        <w:fldChar w:fldCharType="separate"/>
      </w:r>
      <w:r>
        <w:rPr>
          <w:sz w:val="24"/>
          <w:szCs w:val="24"/>
        </w:rPr>
        <w:t>18</w:t>
      </w:r>
      <w:r>
        <w:rPr>
          <w:rFonts w:hint="eastAsia"/>
          <w:sz w:val="24"/>
          <w:szCs w:val="24"/>
        </w:rPr>
        <w:fldChar w:fldCharType="end"/>
      </w:r>
      <w:r>
        <w:rPr>
          <w:rFonts w:hint="eastAsia"/>
          <w:sz w:val="24"/>
          <w:szCs w:val="24"/>
        </w:rPr>
        <w:fldChar w:fldCharType="end"/>
      </w:r>
    </w:p>
    <w:p w14:paraId="47416F52">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"_Toc176165905" </w:instrText>
      </w:r>
      <w:r>
        <w:fldChar w:fldCharType="separate"/>
      </w:r>
      <w:r>
        <w:rPr>
          <w:rStyle w:val="39"/>
          <w:rFonts w:hint="eastAsia" w:ascii="宋体" w:hAnsi="宋体"/>
          <w:b/>
          <w:sz w:val="24"/>
          <w:szCs w:val="24"/>
        </w:rPr>
        <w:t>十八、</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售后服务措施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_Toc176165905 \h</w:instrText>
      </w:r>
      <w:r>
        <w:rPr>
          <w:rFonts w:hint="eastAsia"/>
          <w:sz w:val="24"/>
          <w:szCs w:val="24"/>
        </w:rPr>
        <w:instrText xml:space="preserve"> </w:instrText>
      </w:r>
      <w:r>
        <w:rPr>
          <w:sz w:val="24"/>
          <w:szCs w:val="24"/>
        </w:rPr>
        <w:fldChar w:fldCharType="separate"/>
      </w:r>
      <w:r>
        <w:rPr>
          <w:sz w:val="24"/>
          <w:szCs w:val="24"/>
        </w:rPr>
        <w:t>19</w:t>
      </w:r>
      <w:r>
        <w:rPr>
          <w:rFonts w:hint="eastAsia"/>
          <w:sz w:val="24"/>
          <w:szCs w:val="24"/>
        </w:rPr>
        <w:fldChar w:fldCharType="end"/>
      </w:r>
      <w:r>
        <w:rPr>
          <w:rFonts w:hint="eastAsia"/>
          <w:sz w:val="24"/>
          <w:szCs w:val="24"/>
        </w:rPr>
        <w:fldChar w:fldCharType="end"/>
      </w:r>
    </w:p>
    <w:p w14:paraId="345866B5">
      <w:pPr>
        <w:pStyle w:val="25"/>
        <w:tabs>
          <w:tab w:val="left" w:pos="842"/>
          <w:tab w:val="right" w:leader="dot" w:pos="9344"/>
        </w:tabs>
        <w:spacing w:before="156" w:beforeLines="50" w:after="156" w:afterLines="50"/>
        <w:rPr>
          <w:rFonts w:hint="eastAsia" w:asciiTheme="minorHAnsi" w:hAnsiTheme="minorHAnsi" w:eastAsiaTheme="minorEastAsia" w:cstheme="minorBidi"/>
          <w:bCs w:val="0"/>
          <w:caps w:val="0"/>
          <w:sz w:val="24"/>
          <w:szCs w:val="24"/>
          <w14:ligatures w14:val="standardContextual"/>
        </w:rPr>
      </w:pPr>
      <w:r>
        <w:fldChar w:fldCharType="begin"/>
      </w:r>
      <w:r>
        <w:instrText xml:space="preserve"> HYPERLINK \l "_Toc176165906" </w:instrText>
      </w:r>
      <w:r>
        <w:fldChar w:fldCharType="separate"/>
      </w:r>
      <w:r>
        <w:rPr>
          <w:rStyle w:val="39"/>
          <w:rFonts w:hint="eastAsia" w:ascii="宋体" w:hAnsi="宋体"/>
          <w:b/>
          <w:sz w:val="24"/>
          <w:szCs w:val="24"/>
        </w:rPr>
        <w:t>十九、</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监理控制点类型</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_Toc176165906 \h</w:instrText>
      </w:r>
      <w:r>
        <w:rPr>
          <w:rFonts w:hint="eastAsia"/>
          <w:sz w:val="24"/>
          <w:szCs w:val="24"/>
        </w:rPr>
        <w:instrText xml:space="preserve"> </w:instrText>
      </w:r>
      <w:r>
        <w:rPr>
          <w:sz w:val="24"/>
          <w:szCs w:val="24"/>
        </w:rPr>
        <w:fldChar w:fldCharType="separate"/>
      </w:r>
      <w:r>
        <w:rPr>
          <w:sz w:val="24"/>
          <w:szCs w:val="24"/>
        </w:rPr>
        <w:t>20</w:t>
      </w:r>
      <w:r>
        <w:rPr>
          <w:rFonts w:hint="eastAsia"/>
          <w:sz w:val="24"/>
          <w:szCs w:val="24"/>
        </w:rPr>
        <w:fldChar w:fldCharType="end"/>
      </w:r>
      <w:r>
        <w:rPr>
          <w:rFonts w:hint="eastAsia"/>
          <w:sz w:val="24"/>
          <w:szCs w:val="24"/>
        </w:rPr>
        <w:fldChar w:fldCharType="end"/>
      </w:r>
    </w:p>
    <w:p w14:paraId="3E68FBAE">
      <w:pPr>
        <w:pStyle w:val="25"/>
        <w:tabs>
          <w:tab w:val="left" w:pos="842"/>
          <w:tab w:val="right" w:leader="dot" w:pos="9344"/>
        </w:tabs>
        <w:spacing w:before="156" w:beforeLines="50" w:after="156" w:afterLines="50"/>
        <w:rPr>
          <w:rStyle w:val="39"/>
          <w:sz w:val="24"/>
          <w:szCs w:val="24"/>
        </w:rPr>
      </w:pPr>
      <w:r>
        <w:fldChar w:fldCharType="begin"/>
      </w:r>
      <w:r>
        <w:instrText xml:space="preserve"> HYPERLINK \l "_Toc176165907" </w:instrText>
      </w:r>
      <w:r>
        <w:fldChar w:fldCharType="separate"/>
      </w:r>
      <w:r>
        <w:rPr>
          <w:rStyle w:val="39"/>
          <w:rFonts w:hint="eastAsia"/>
          <w:b/>
          <w:sz w:val="24"/>
          <w:szCs w:val="24"/>
        </w:rPr>
        <w:t>二十、</w:t>
      </w:r>
      <w:r>
        <w:rPr>
          <w:rFonts w:hint="eastAsia" w:asciiTheme="minorHAnsi" w:hAnsiTheme="minorHAnsi" w:eastAsiaTheme="minorEastAsia" w:cstheme="minorBidi"/>
          <w:bCs w:val="0"/>
          <w:caps w:val="0"/>
          <w:sz w:val="24"/>
          <w:szCs w:val="24"/>
          <w14:ligatures w14:val="standardContextual"/>
        </w:rPr>
        <w:tab/>
      </w:r>
      <w:r>
        <w:rPr>
          <w:rStyle w:val="39"/>
          <w:rFonts w:hint="eastAsia" w:ascii="宋体" w:hAnsi="宋体"/>
          <w:b/>
          <w:sz w:val="24"/>
          <w:szCs w:val="24"/>
        </w:rPr>
        <w:t>监造检试验计划</w:t>
      </w:r>
      <w:r>
        <w:rPr>
          <w:rStyle w:val="39"/>
          <w:rFonts w:hint="eastAsia"/>
          <w:sz w:val="24"/>
          <w:szCs w:val="24"/>
        </w:rPr>
        <w:t>（详见下表）</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_Toc176165907 \h</w:instrText>
      </w:r>
      <w:r>
        <w:rPr>
          <w:rFonts w:hint="eastAsia"/>
          <w:sz w:val="24"/>
          <w:szCs w:val="24"/>
        </w:rPr>
        <w:instrText xml:space="preserve"> </w:instrText>
      </w:r>
      <w:r>
        <w:rPr>
          <w:sz w:val="24"/>
          <w:szCs w:val="24"/>
        </w:rPr>
        <w:fldChar w:fldCharType="separate"/>
      </w:r>
      <w:r>
        <w:rPr>
          <w:sz w:val="24"/>
          <w:szCs w:val="24"/>
        </w:rPr>
        <w:t>20</w:t>
      </w:r>
      <w:r>
        <w:rPr>
          <w:rFonts w:hint="eastAsia"/>
          <w:sz w:val="24"/>
          <w:szCs w:val="24"/>
        </w:rPr>
        <w:fldChar w:fldCharType="end"/>
      </w:r>
      <w:r>
        <w:rPr>
          <w:rFonts w:hint="eastAsia"/>
          <w:sz w:val="24"/>
          <w:szCs w:val="24"/>
        </w:rPr>
        <w:fldChar w:fldCharType="end"/>
      </w:r>
    </w:p>
    <w:p w14:paraId="5C4A194A">
      <w:pPr>
        <w:pStyle w:val="2"/>
        <w:spacing w:before="156" w:beforeLines="50" w:after="156" w:afterLines="50"/>
        <w:rPr>
          <w:sz w:val="24"/>
        </w:rPr>
      </w:pPr>
      <w:r>
        <w:rPr>
          <w:rStyle w:val="39"/>
          <w:sz w:val="24"/>
        </w:rPr>
        <w:br w:type="page"/>
      </w:r>
    </w:p>
    <w:p w14:paraId="06DFBE80">
      <w:pPr>
        <w:pStyle w:val="60"/>
        <w:numPr>
          <w:ilvl w:val="0"/>
          <w:numId w:val="1"/>
        </w:numPr>
        <w:spacing w:before="156" w:beforeLines="50" w:after="156" w:afterLines="50" w:line="360" w:lineRule="auto"/>
        <w:ind w:firstLineChars="0"/>
        <w:outlineLvl w:val="0"/>
        <w:rPr>
          <w:b/>
          <w:sz w:val="24"/>
        </w:rPr>
      </w:pPr>
      <w:r>
        <w:rPr>
          <w:szCs w:val="21"/>
        </w:rPr>
        <w:t>编制说明</w:t>
      </w:r>
    </w:p>
    <w:p w14:paraId="509BE175">
      <w:pPr>
        <w:spacing w:line="560" w:lineRule="exact"/>
        <w:ind w:firstLine="482" w:firstLineChars="200"/>
        <w:rPr>
          <w:b/>
          <w:bCs/>
          <w:sz w:val="24"/>
        </w:rPr>
      </w:pPr>
      <w:r>
        <w:rPr>
          <w:b/>
          <w:bCs/>
          <w:sz w:val="24"/>
        </w:rPr>
        <w:t>本大纲适用于新特能源晶体硅冷氢化热效能提升项目、新增急冷塔余热换热器降蒸汽项目所采购的5台换热器（含急冷塔余热换热器、混合气二级/三级热交换器、急冷塔塔顶余热汽化器等）的制造监造工作。</w:t>
      </w:r>
    </w:p>
    <w:p w14:paraId="509BE175">
      <w:pPr>
        <w:spacing w:line="560" w:lineRule="exact"/>
        <w:ind w:firstLine="482" w:firstLineChars="200"/>
        <w:rPr>
          <w:b/>
          <w:bCs/>
          <w:sz w:val="24"/>
        </w:rPr>
      </w:pPr>
      <w:r>
        <w:rPr>
          <w:b/>
          <w:bCs/>
          <w:sz w:val="24"/>
        </w:rPr>
        <w:t>设备制造商为江苏中圣压力容器装备制造有限公司，设计方为华陆工程科技有限公司，买方为新特能源股份有限公司。监造范围覆盖原材料采购、筒体/管板制造、换热管检验、装配焊接、无损检测、热处理、压力/氦检漏试验、酸洗钝化、防腐包装及资料交付全过程。</w:t>
      </w:r>
    </w:p>
    <w:p w14:paraId="509BE175">
      <w:pPr>
        <w:spacing w:line="560" w:lineRule="exact"/>
        <w:ind w:firstLine="482" w:firstLineChars="200"/>
        <w:rPr>
          <w:b/>
          <w:bCs/>
          <w:sz w:val="24"/>
        </w:rPr>
      </w:pPr>
      <w:r>
        <w:rPr>
          <w:b/>
          <w:bCs/>
          <w:sz w:val="24"/>
        </w:rPr>
        <w:t>主要控制风险包括：不锈钢材料铁离子污染、管板管孔加工精度及垂直度、换热管逐根探伤及水压/气密试验、管头自动焊质量及贴胀工艺、A/B类焊缝100%RT检测、气压试验介质露点控制、氦检漏泄漏率、酸洗钝化后氯离子残留及干燥充氮保压。</w:t>
      </w:r>
    </w:p>
    <w:p w14:paraId="509BE175">
      <w:pPr>
        <w:spacing w:line="560" w:lineRule="exact"/>
        <w:ind w:firstLine="482" w:firstLineChars="200"/>
        <w:rPr>
          <w:b/>
          <w:bCs/>
          <w:sz w:val="24"/>
        </w:rPr>
      </w:pPr>
      <w:r>
        <w:rPr>
          <w:b/>
          <w:bCs/>
          <w:sz w:val="24"/>
        </w:rPr>
        <w:t>监造工作将严格执行技术协议、最终版施工图及TSG 21、GB/T 150、GB/T 151、NB/T 47013等标准，采用H/W/R/S控制点管理，确保设备机械性能、焊接质量及洁净度满足买方要求。</w:t>
      </w:r>
    </w:p>
    <w:tbl>
      <w:tblPr>
        <w:tblStyle w:val="33"/>
        <w:tblW w:w="946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5"/>
        <w:gridCol w:w="2272"/>
        <w:gridCol w:w="1802"/>
        <w:gridCol w:w="1774"/>
        <w:gridCol w:w="996"/>
        <w:gridCol w:w="1378"/>
        <w:gridCol w:w="567"/>
      </w:tblGrid>
      <w:tr w14:paraId="24E52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trPr>
        <w:tc>
          <w:tcPr>
            <w:tcW w:w="675" w:type="dxa"/>
            <w:vAlign w:val="center"/>
          </w:tcPr>
          <w:p>
            <w:r>
              <w:rPr>
                <w:rFonts w:ascii="宋体" w:hAnsi="宋体" w:eastAsia="宋体"/>
                <w:sz w:val="21"/>
              </w:rPr>
              <w:t>序号</w:t>
            </w:r>
          </w:p>
        </w:tc>
        <w:tc>
          <w:tcPr>
            <w:tcW w:w="2272" w:type="dxa"/>
            <w:vAlign w:val="center"/>
          </w:tcPr>
          <w:p>
            <w:r>
              <w:rPr>
                <w:rFonts w:ascii="宋体" w:hAnsi="宋体" w:eastAsia="宋体"/>
                <w:sz w:val="21"/>
              </w:rPr>
              <w:t>设备名称</w:t>
            </w:r>
          </w:p>
        </w:tc>
        <w:tc>
          <w:tcPr>
            <w:tcW w:w="1802" w:type="dxa"/>
            <w:vAlign w:val="center"/>
          </w:tcPr>
          <w:p>
            <w:r>
              <w:rPr>
                <w:rFonts w:ascii="宋体" w:hAnsi="宋体" w:eastAsia="宋体"/>
                <w:sz w:val="21"/>
              </w:rPr>
              <w:t>位号</w:t>
            </w:r>
          </w:p>
        </w:tc>
        <w:tc>
          <w:tcPr>
            <w:tcW w:w="1774" w:type="dxa"/>
            <w:vAlign w:val="center"/>
          </w:tcPr>
          <w:p>
            <w:r>
              <w:rPr>
                <w:rFonts w:ascii="宋体" w:hAnsi="宋体" w:eastAsia="宋体"/>
                <w:sz w:val="21"/>
              </w:rPr>
              <w:t>主体材质</w:t>
            </w:r>
          </w:p>
        </w:tc>
        <w:tc>
          <w:tcPr>
            <w:tcW w:w="996" w:type="dxa"/>
            <w:vAlign w:val="center"/>
          </w:tcPr>
          <w:p>
            <w:r>
              <w:rPr>
                <w:rFonts w:ascii="宋体" w:hAnsi="宋体" w:eastAsia="宋体"/>
                <w:sz w:val="21"/>
              </w:rPr>
              <w:t>数量</w:t>
            </w:r>
          </w:p>
        </w:tc>
        <w:tc>
          <w:tcPr>
            <w:tcW w:w="1378" w:type="dxa"/>
            <w:vAlign w:val="center"/>
          </w:tcPr>
          <w:p>
            <w:r>
              <w:rPr>
                <w:rFonts w:ascii="宋体" w:hAnsi="宋体" w:eastAsia="宋体"/>
                <w:sz w:val="21"/>
              </w:rPr>
              <w:t>规格型号</w:t>
            </w:r>
          </w:p>
        </w:tc>
        <w:tc>
          <w:tcPr>
            <w:tcW w:w="567" w:type="dxa"/>
            <w:vAlign w:val="center"/>
          </w:tcPr>
          <w:p>
            <w:r>
              <w:rPr>
                <w:rFonts w:ascii="宋体" w:hAnsi="宋体" w:eastAsia="宋体"/>
                <w:sz w:val="21"/>
              </w:rPr>
              <w:t>备注</w:t>
            </w:r>
          </w:p>
        </w:tc>
      </w:tr>
      <w:tr w14:paraId="799AB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675" w:type="dxa"/>
            <w:vAlign w:val="center"/>
          </w:tcPr>
          <w:p>
            <w:r>
              <w:rPr>
                <w:rFonts w:ascii="宋体" w:hAnsi="宋体" w:eastAsia="宋体"/>
                <w:sz w:val="21"/>
              </w:rPr>
              <w:t>1</w:t>
            </w:r>
          </w:p>
        </w:tc>
        <w:tc>
          <w:tcPr>
            <w:tcW w:w="2272" w:type="dxa"/>
            <w:vAlign w:val="center"/>
          </w:tcPr>
          <w:p>
            <w:r>
              <w:rPr>
                <w:rFonts w:ascii="宋体" w:hAnsi="宋体" w:eastAsia="宋体"/>
                <w:sz w:val="21"/>
              </w:rPr>
              <w:t>急冷塔余热换热器</w:t>
            </w:r>
          </w:p>
        </w:tc>
        <w:tc>
          <w:tcPr>
            <w:tcW w:w="1802" w:type="dxa"/>
            <w:vAlign w:val="center"/>
          </w:tcPr>
          <w:p>
            <w:r>
              <w:rPr>
                <w:rFonts w:ascii="宋体" w:hAnsi="宋体" w:eastAsia="宋体"/>
                <w:sz w:val="21"/>
              </w:rPr>
              <w:t>待确认</w:t>
            </w:r>
          </w:p>
        </w:tc>
        <w:tc>
          <w:tcPr>
            <w:tcW w:w="1774" w:type="dxa"/>
            <w:vAlign w:val="center"/>
          </w:tcPr>
          <w:p>
            <w:r>
              <w:rPr>
                <w:rFonts w:ascii="宋体" w:hAnsi="宋体" w:eastAsia="宋体"/>
                <w:sz w:val="21"/>
              </w:rPr>
              <w:t>壳体/管箱材质待确认</w:t>
            </w:r>
          </w:p>
        </w:tc>
        <w:tc>
          <w:tcPr>
            <w:tcW w:w="996" w:type="dxa"/>
            <w:vAlign w:val="center"/>
          </w:tcPr>
          <w:p>
            <w:r>
              <w:rPr>
                <w:rFonts w:ascii="宋体" w:hAnsi="宋体" w:eastAsia="宋体"/>
                <w:sz w:val="21"/>
              </w:rPr>
              <w:t>1</w:t>
            </w:r>
          </w:p>
        </w:tc>
        <w:tc>
          <w:tcPr>
            <w:tcW w:w="1378" w:type="dxa"/>
            <w:vAlign w:val="center"/>
          </w:tcPr>
          <w:p>
            <w:r>
              <w:rPr>
                <w:rFonts w:ascii="宋体" w:hAnsi="宋体" w:eastAsia="宋体"/>
                <w:sz w:val="21"/>
              </w:rPr>
              <w:t>待确认</w:t>
            </w:r>
          </w:p>
        </w:tc>
        <w:tc>
          <w:tcPr>
            <w:tcW w:w="567" w:type="dxa"/>
            <w:vAlign w:val="center"/>
          </w:tcPr>
          <w:p>
            <w:r>
              <w:rPr>
                <w:rFonts w:ascii="宋体" w:hAnsi="宋体" w:eastAsia="宋体"/>
                <w:sz w:val="21"/>
              </w:rPr>
              <w:t>设计寿命20年</w:t>
            </w:r>
          </w:p>
        </w:tc>
      </w:tr>
      <w:tr w14:paraId="799AB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675" w:type="dxa"/>
            <w:vAlign w:val="center"/>
          </w:tcPr>
          <w:p>
            <w:r>
              <w:rPr>
                <w:rFonts w:ascii="宋体" w:hAnsi="宋体" w:eastAsia="宋体"/>
                <w:sz w:val="21"/>
              </w:rPr>
              <w:t>2</w:t>
            </w:r>
          </w:p>
        </w:tc>
        <w:tc>
          <w:tcPr>
            <w:tcW w:w="2272" w:type="dxa"/>
            <w:vAlign w:val="center"/>
          </w:tcPr>
          <w:p>
            <w:r>
              <w:rPr>
                <w:rFonts w:ascii="宋体" w:hAnsi="宋体" w:eastAsia="宋体"/>
                <w:sz w:val="21"/>
              </w:rPr>
              <w:t>混合气二级热交换器</w:t>
            </w:r>
          </w:p>
        </w:tc>
        <w:tc>
          <w:tcPr>
            <w:tcW w:w="1802" w:type="dxa"/>
            <w:vAlign w:val="center"/>
          </w:tcPr>
          <w:p>
            <w:r>
              <w:rPr>
                <w:rFonts w:ascii="宋体" w:hAnsi="宋体" w:eastAsia="宋体"/>
                <w:sz w:val="21"/>
              </w:rPr>
              <w:t>待确认</w:t>
            </w:r>
          </w:p>
        </w:tc>
        <w:tc>
          <w:tcPr>
            <w:tcW w:w="1774" w:type="dxa"/>
            <w:vAlign w:val="center"/>
          </w:tcPr>
          <w:p>
            <w:r>
              <w:rPr>
                <w:rFonts w:ascii="宋体" w:hAnsi="宋体" w:eastAsia="宋体"/>
                <w:sz w:val="21"/>
              </w:rPr>
              <w:t>壳体/管箱材质待确认</w:t>
            </w:r>
          </w:p>
        </w:tc>
        <w:tc>
          <w:tcPr>
            <w:tcW w:w="996" w:type="dxa"/>
            <w:vAlign w:val="center"/>
          </w:tcPr>
          <w:p>
            <w:r>
              <w:rPr>
                <w:rFonts w:ascii="宋体" w:hAnsi="宋体" w:eastAsia="宋体"/>
                <w:sz w:val="21"/>
              </w:rPr>
              <w:t>1</w:t>
            </w:r>
          </w:p>
        </w:tc>
        <w:tc>
          <w:tcPr>
            <w:tcW w:w="1378" w:type="dxa"/>
            <w:vAlign w:val="center"/>
          </w:tcPr>
          <w:p>
            <w:r>
              <w:rPr>
                <w:rFonts w:ascii="宋体" w:hAnsi="宋体" w:eastAsia="宋体"/>
                <w:sz w:val="21"/>
              </w:rPr>
              <w:t>待确认</w:t>
            </w:r>
          </w:p>
        </w:tc>
        <w:tc>
          <w:tcPr>
            <w:tcW w:w="567" w:type="dxa"/>
            <w:vAlign w:val="center"/>
          </w:tcPr>
          <w:p>
            <w:r>
              <w:rPr>
                <w:rFonts w:ascii="宋体" w:hAnsi="宋体" w:eastAsia="宋体"/>
                <w:sz w:val="21"/>
              </w:rPr>
              <w:t>设计寿命20年</w:t>
            </w:r>
          </w:p>
        </w:tc>
      </w:tr>
      <w:tr w14:paraId="799AB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675" w:type="dxa"/>
            <w:vAlign w:val="center"/>
          </w:tcPr>
          <w:p>
            <w:r>
              <w:rPr>
                <w:rFonts w:ascii="宋体" w:hAnsi="宋体" w:eastAsia="宋体"/>
                <w:sz w:val="21"/>
              </w:rPr>
              <w:t>3</w:t>
            </w:r>
          </w:p>
        </w:tc>
        <w:tc>
          <w:tcPr>
            <w:tcW w:w="2272" w:type="dxa"/>
            <w:vAlign w:val="center"/>
          </w:tcPr>
          <w:p>
            <w:r>
              <w:rPr>
                <w:rFonts w:ascii="宋体" w:hAnsi="宋体" w:eastAsia="宋体"/>
                <w:sz w:val="21"/>
              </w:rPr>
              <w:t>混合气三级热交换器</w:t>
            </w:r>
          </w:p>
        </w:tc>
        <w:tc>
          <w:tcPr>
            <w:tcW w:w="1802" w:type="dxa"/>
            <w:vAlign w:val="center"/>
          </w:tcPr>
          <w:p>
            <w:r>
              <w:rPr>
                <w:rFonts w:ascii="宋体" w:hAnsi="宋体" w:eastAsia="宋体"/>
                <w:sz w:val="21"/>
              </w:rPr>
              <w:t>待确认</w:t>
            </w:r>
          </w:p>
        </w:tc>
        <w:tc>
          <w:tcPr>
            <w:tcW w:w="1774" w:type="dxa"/>
            <w:vAlign w:val="center"/>
          </w:tcPr>
          <w:p>
            <w:r>
              <w:rPr>
                <w:rFonts w:ascii="宋体" w:hAnsi="宋体" w:eastAsia="宋体"/>
                <w:sz w:val="21"/>
              </w:rPr>
              <w:t>壳体/管箱材质待确认</w:t>
            </w:r>
          </w:p>
        </w:tc>
        <w:tc>
          <w:tcPr>
            <w:tcW w:w="996" w:type="dxa"/>
            <w:vAlign w:val="center"/>
          </w:tcPr>
          <w:p>
            <w:r>
              <w:rPr>
                <w:rFonts w:ascii="宋体" w:hAnsi="宋体" w:eastAsia="宋体"/>
                <w:sz w:val="21"/>
              </w:rPr>
              <w:t>1</w:t>
            </w:r>
          </w:p>
        </w:tc>
        <w:tc>
          <w:tcPr>
            <w:tcW w:w="1378" w:type="dxa"/>
            <w:vAlign w:val="center"/>
          </w:tcPr>
          <w:p>
            <w:r>
              <w:rPr>
                <w:rFonts w:ascii="宋体" w:hAnsi="宋体" w:eastAsia="宋体"/>
                <w:sz w:val="21"/>
              </w:rPr>
              <w:t>待确认</w:t>
            </w:r>
          </w:p>
        </w:tc>
        <w:tc>
          <w:tcPr>
            <w:tcW w:w="567" w:type="dxa"/>
            <w:vAlign w:val="center"/>
          </w:tcPr>
          <w:p>
            <w:r>
              <w:rPr>
                <w:rFonts w:ascii="宋体" w:hAnsi="宋体" w:eastAsia="宋体"/>
                <w:sz w:val="21"/>
              </w:rPr>
              <w:t>设计寿命20年</w:t>
            </w:r>
          </w:p>
        </w:tc>
      </w:tr>
      <w:tr w14:paraId="799AB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675" w:type="dxa"/>
            <w:vAlign w:val="center"/>
          </w:tcPr>
          <w:p>
            <w:r>
              <w:rPr>
                <w:rFonts w:ascii="宋体" w:hAnsi="宋体" w:eastAsia="宋体"/>
                <w:sz w:val="21"/>
              </w:rPr>
              <w:t>4</w:t>
            </w:r>
          </w:p>
        </w:tc>
        <w:tc>
          <w:tcPr>
            <w:tcW w:w="2272" w:type="dxa"/>
            <w:vAlign w:val="center"/>
          </w:tcPr>
          <w:p>
            <w:r>
              <w:rPr>
                <w:rFonts w:ascii="宋体" w:hAnsi="宋体" w:eastAsia="宋体"/>
                <w:sz w:val="21"/>
              </w:rPr>
              <w:t>急冷塔塔顶余热汽化器</w:t>
            </w:r>
          </w:p>
        </w:tc>
        <w:tc>
          <w:tcPr>
            <w:tcW w:w="1802" w:type="dxa"/>
            <w:vAlign w:val="center"/>
          </w:tcPr>
          <w:p>
            <w:r>
              <w:rPr>
                <w:rFonts w:ascii="宋体" w:hAnsi="宋体" w:eastAsia="宋体"/>
                <w:sz w:val="21"/>
              </w:rPr>
              <w:t>待确认</w:t>
            </w:r>
          </w:p>
        </w:tc>
        <w:tc>
          <w:tcPr>
            <w:tcW w:w="1774" w:type="dxa"/>
            <w:vAlign w:val="center"/>
          </w:tcPr>
          <w:p>
            <w:r>
              <w:rPr>
                <w:rFonts w:ascii="宋体" w:hAnsi="宋体" w:eastAsia="宋体"/>
                <w:sz w:val="21"/>
              </w:rPr>
              <w:t>壳体/管箱材质待确认</w:t>
            </w:r>
          </w:p>
        </w:tc>
        <w:tc>
          <w:tcPr>
            <w:tcW w:w="996" w:type="dxa"/>
            <w:vAlign w:val="center"/>
          </w:tcPr>
          <w:p>
            <w:r>
              <w:rPr>
                <w:rFonts w:ascii="宋体" w:hAnsi="宋体" w:eastAsia="宋体"/>
                <w:sz w:val="21"/>
              </w:rPr>
              <w:t>1</w:t>
            </w:r>
          </w:p>
        </w:tc>
        <w:tc>
          <w:tcPr>
            <w:tcW w:w="1378" w:type="dxa"/>
            <w:vAlign w:val="center"/>
          </w:tcPr>
          <w:p>
            <w:r>
              <w:rPr>
                <w:rFonts w:ascii="宋体" w:hAnsi="宋体" w:eastAsia="宋体"/>
                <w:sz w:val="21"/>
              </w:rPr>
              <w:t>待确认</w:t>
            </w:r>
          </w:p>
        </w:tc>
        <w:tc>
          <w:tcPr>
            <w:tcW w:w="567" w:type="dxa"/>
            <w:vAlign w:val="center"/>
          </w:tcPr>
          <w:p>
            <w:r>
              <w:rPr>
                <w:rFonts w:ascii="宋体" w:hAnsi="宋体" w:eastAsia="宋体"/>
                <w:sz w:val="21"/>
              </w:rPr>
              <w:t>设计寿命15年</w:t>
            </w:r>
          </w:p>
        </w:tc>
      </w:tr>
      <w:tr w14:paraId="799AB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675" w:type="dxa"/>
            <w:vAlign w:val="center"/>
          </w:tcPr>
          <w:p>
            <w:r>
              <w:rPr>
                <w:rFonts w:ascii="宋体" w:hAnsi="宋体" w:eastAsia="宋体"/>
                <w:sz w:val="21"/>
              </w:rPr>
              <w:t>5</w:t>
            </w:r>
          </w:p>
        </w:tc>
        <w:tc>
          <w:tcPr>
            <w:tcW w:w="2272" w:type="dxa"/>
            <w:vAlign w:val="center"/>
          </w:tcPr>
          <w:p>
            <w:r>
              <w:rPr>
                <w:rFonts w:ascii="宋体" w:hAnsi="宋体" w:eastAsia="宋体"/>
                <w:sz w:val="21"/>
              </w:rPr>
              <w:t>换热器</w:t>
            </w:r>
          </w:p>
        </w:tc>
        <w:tc>
          <w:tcPr>
            <w:tcW w:w="1802" w:type="dxa"/>
            <w:vAlign w:val="center"/>
          </w:tcPr>
          <w:p>
            <w:r>
              <w:rPr>
                <w:rFonts w:ascii="宋体" w:hAnsi="宋体" w:eastAsia="宋体"/>
                <w:sz w:val="21"/>
              </w:rPr>
              <w:t>待确认</w:t>
            </w:r>
          </w:p>
        </w:tc>
        <w:tc>
          <w:tcPr>
            <w:tcW w:w="1774" w:type="dxa"/>
            <w:vAlign w:val="center"/>
          </w:tcPr>
          <w:p>
            <w:r>
              <w:rPr>
                <w:rFonts w:ascii="宋体" w:hAnsi="宋体" w:eastAsia="宋体"/>
                <w:sz w:val="21"/>
              </w:rPr>
              <w:t>壳体/管箱材质待确认</w:t>
            </w:r>
          </w:p>
        </w:tc>
        <w:tc>
          <w:tcPr>
            <w:tcW w:w="996" w:type="dxa"/>
            <w:vAlign w:val="center"/>
          </w:tcPr>
          <w:p>
            <w:r>
              <w:rPr>
                <w:rFonts w:ascii="宋体" w:hAnsi="宋体" w:eastAsia="宋体"/>
                <w:sz w:val="21"/>
              </w:rPr>
              <w:t>1</w:t>
            </w:r>
          </w:p>
        </w:tc>
        <w:tc>
          <w:tcPr>
            <w:tcW w:w="1378" w:type="dxa"/>
            <w:vAlign w:val="center"/>
          </w:tcPr>
          <w:p>
            <w:r>
              <w:rPr>
                <w:rFonts w:ascii="宋体" w:hAnsi="宋体" w:eastAsia="宋体"/>
                <w:sz w:val="21"/>
              </w:rPr>
              <w:t>待确认</w:t>
            </w:r>
          </w:p>
        </w:tc>
        <w:tc>
          <w:tcPr>
            <w:tcW w:w="567" w:type="dxa"/>
            <w:vAlign w:val="center"/>
          </w:tcPr>
          <w:p>
            <w:r>
              <w:rPr>
                <w:rFonts w:ascii="宋体" w:hAnsi="宋体" w:eastAsia="宋体"/>
                <w:sz w:val="21"/>
              </w:rPr>
              <w:t>设计寿命20年</w:t>
            </w:r>
          </w:p>
        </w:tc>
      </w:tr>
    </w:tbl>
    <w:p w14:paraId="44B5838A">
      <w:pPr>
        <w:pStyle w:val="60"/>
        <w:numPr>
          <w:ilvl w:val="0"/>
          <w:numId w:val="1"/>
        </w:numPr>
        <w:spacing w:before="156" w:beforeLines="50" w:after="156" w:afterLines="50" w:line="360" w:lineRule="auto"/>
        <w:ind w:firstLineChars="0"/>
        <w:outlineLvl w:val="0"/>
        <w:rPr>
          <w:b/>
          <w:sz w:val="24"/>
        </w:rPr>
      </w:pPr>
      <w:r>
        <w:rPr>
          <w:b/>
          <w:sz w:val="24"/>
        </w:rPr>
        <w:t>监理工作依据</w:t>
      </w:r>
    </w:p>
    <w:p w14:paraId="02840CC5">
      <w:pPr>
        <w:pStyle w:val="60"/>
        <w:numPr>
          <w:ilvl w:val="0"/>
          <w:numId w:val="2"/>
        </w:numPr>
        <w:spacing w:before="50" w:line="360" w:lineRule="auto"/>
        <w:ind w:firstLine="6" w:firstLineChars="0"/>
        <w:rPr>
          <w:rFonts w:eastAsiaTheme="minorEastAsia"/>
          <w:sz w:val="24"/>
        </w:rPr>
      </w:pPr>
      <w:r>
        <w:rPr>
          <w:rFonts w:hint="eastAsia"/>
          <w:sz w:val="24"/>
        </w:rPr>
        <w:t>1. 甲方与制造单位所签订货合同的技术附件；</w:t>
      </w:r>
    </w:p>
    <w:p w14:paraId="02840CC5">
      <w:pPr>
        <w:pStyle w:val="60"/>
        <w:numPr>
          <w:ilvl w:val="0"/>
          <w:numId w:val="2"/>
        </w:numPr>
        <w:spacing w:before="50" w:line="360" w:lineRule="auto"/>
        <w:ind w:firstLine="6" w:firstLineChars="0"/>
        <w:rPr>
          <w:rFonts w:eastAsiaTheme="minorEastAsia"/>
          <w:sz w:val="24"/>
        </w:rPr>
      </w:pPr>
      <w:r>
        <w:rPr>
          <w:rFonts w:hint="eastAsia"/>
          <w:sz w:val="24"/>
        </w:rPr>
        <w:t>2. 设计图纸；</w:t>
      </w:r>
    </w:p>
    <w:p w14:paraId="02840CC5">
      <w:pPr>
        <w:pStyle w:val="60"/>
        <w:numPr>
          <w:ilvl w:val="0"/>
          <w:numId w:val="2"/>
        </w:numPr>
        <w:spacing w:before="50" w:line="360" w:lineRule="auto"/>
        <w:ind w:firstLine="6" w:firstLineChars="0"/>
        <w:rPr>
          <w:rFonts w:eastAsiaTheme="minorEastAsia"/>
          <w:sz w:val="24"/>
        </w:rPr>
      </w:pPr>
      <w:r>
        <w:rPr>
          <w:rFonts w:hint="eastAsia"/>
          <w:sz w:val="24"/>
        </w:rPr>
        <w:t>3. 甲、乙双方来往有效的传真、会议纪要；</w:t>
      </w:r>
    </w:p>
    <w:p w14:paraId="02840CC5">
      <w:pPr>
        <w:pStyle w:val="60"/>
        <w:numPr>
          <w:ilvl w:val="0"/>
          <w:numId w:val="2"/>
        </w:numPr>
        <w:spacing w:before="50" w:line="360" w:lineRule="auto"/>
        <w:ind w:firstLine="6" w:firstLineChars="0"/>
        <w:rPr>
          <w:rFonts w:eastAsiaTheme="minorEastAsia"/>
          <w:sz w:val="24"/>
        </w:rPr>
      </w:pPr>
      <w:r>
        <w:rPr>
          <w:rFonts w:hint="eastAsia"/>
          <w:sz w:val="24"/>
        </w:rPr>
        <w:t>4. TSG 21-2016《固定式压力容器安全技术监察规程》；</w:t>
      </w:r>
    </w:p>
    <w:p w14:paraId="02840CC5">
      <w:pPr>
        <w:pStyle w:val="60"/>
        <w:numPr>
          <w:ilvl w:val="0"/>
          <w:numId w:val="2"/>
        </w:numPr>
        <w:spacing w:before="50" w:line="360" w:lineRule="auto"/>
        <w:ind w:firstLine="6" w:firstLineChars="0"/>
        <w:rPr>
          <w:rFonts w:eastAsiaTheme="minorEastAsia"/>
          <w:sz w:val="24"/>
        </w:rPr>
      </w:pPr>
      <w:r>
        <w:rPr>
          <w:rFonts w:hint="eastAsia"/>
          <w:sz w:val="24"/>
        </w:rPr>
        <w:t>5. GB/T 150.1~4《压力容器》；</w:t>
      </w:r>
    </w:p>
    <w:p w14:paraId="02840CC5">
      <w:pPr>
        <w:pStyle w:val="60"/>
        <w:numPr>
          <w:ilvl w:val="0"/>
          <w:numId w:val="2"/>
        </w:numPr>
        <w:spacing w:before="50" w:line="360" w:lineRule="auto"/>
        <w:ind w:firstLine="6" w:firstLineChars="0"/>
        <w:rPr>
          <w:rFonts w:eastAsiaTheme="minorEastAsia"/>
          <w:sz w:val="24"/>
        </w:rPr>
      </w:pPr>
      <w:r>
        <w:rPr>
          <w:rFonts w:hint="eastAsia"/>
          <w:sz w:val="24"/>
        </w:rPr>
        <w:t>6. GB/T 151《热交换器》；</w:t>
      </w:r>
    </w:p>
    <w:p w14:paraId="02840CC5">
      <w:pPr>
        <w:pStyle w:val="60"/>
        <w:numPr>
          <w:ilvl w:val="0"/>
          <w:numId w:val="2"/>
        </w:numPr>
        <w:spacing w:before="50" w:line="360" w:lineRule="auto"/>
        <w:ind w:firstLine="6" w:firstLineChars="0"/>
        <w:rPr>
          <w:rFonts w:eastAsiaTheme="minorEastAsia"/>
          <w:sz w:val="24"/>
        </w:rPr>
      </w:pPr>
      <w:r>
        <w:rPr>
          <w:rFonts w:hint="eastAsia"/>
          <w:sz w:val="24"/>
        </w:rPr>
        <w:t>7. NB/T 47013《承压设备无损检测》；</w:t>
      </w:r>
    </w:p>
    <w:p w14:paraId="02840CC5">
      <w:pPr>
        <w:pStyle w:val="60"/>
        <w:numPr>
          <w:ilvl w:val="0"/>
          <w:numId w:val="2"/>
        </w:numPr>
        <w:spacing w:before="50" w:line="360" w:lineRule="auto"/>
        <w:ind w:firstLine="6" w:firstLineChars="0"/>
        <w:rPr>
          <w:rFonts w:eastAsiaTheme="minorEastAsia"/>
          <w:sz w:val="24"/>
        </w:rPr>
      </w:pPr>
      <w:r>
        <w:rPr>
          <w:rFonts w:hint="eastAsia"/>
          <w:sz w:val="24"/>
        </w:rPr>
        <w:t>8. NB/T 47014《承压设备焊接工艺评定》；</w:t>
      </w:r>
    </w:p>
    <w:p w14:paraId="02840CC5">
      <w:pPr>
        <w:pStyle w:val="60"/>
        <w:numPr>
          <w:ilvl w:val="0"/>
          <w:numId w:val="2"/>
        </w:numPr>
        <w:spacing w:before="50" w:line="360" w:lineRule="auto"/>
        <w:ind w:firstLine="6" w:firstLineChars="0"/>
        <w:rPr>
          <w:rFonts w:eastAsiaTheme="minorEastAsia"/>
          <w:sz w:val="24"/>
        </w:rPr>
      </w:pPr>
      <w:r>
        <w:rPr>
          <w:rFonts w:hint="eastAsia"/>
          <w:sz w:val="24"/>
        </w:rPr>
        <w:t>9. NB/T 47015《压力容器焊接规程》；</w:t>
      </w:r>
    </w:p>
    <w:p w14:paraId="02840CC5">
      <w:pPr>
        <w:pStyle w:val="60"/>
        <w:numPr>
          <w:ilvl w:val="0"/>
          <w:numId w:val="2"/>
        </w:numPr>
        <w:spacing w:before="50" w:line="360" w:lineRule="auto"/>
        <w:ind w:firstLine="6" w:firstLineChars="0"/>
        <w:rPr>
          <w:rFonts w:eastAsiaTheme="minorEastAsia"/>
          <w:sz w:val="24"/>
        </w:rPr>
      </w:pPr>
      <w:r>
        <w:rPr>
          <w:rFonts w:hint="eastAsia"/>
          <w:sz w:val="24"/>
        </w:rPr>
        <w:t>10. GB/T 13296《锅炉、热交换器用不锈钢无缝钢管》；</w:t>
      </w:r>
    </w:p>
    <w:p w14:paraId="02840CC5">
      <w:pPr>
        <w:pStyle w:val="60"/>
        <w:numPr>
          <w:ilvl w:val="0"/>
          <w:numId w:val="2"/>
        </w:numPr>
        <w:spacing w:before="50" w:line="360" w:lineRule="auto"/>
        <w:ind w:firstLine="6" w:firstLineChars="0"/>
        <w:rPr>
          <w:rFonts w:eastAsiaTheme="minorEastAsia"/>
          <w:sz w:val="24"/>
        </w:rPr>
      </w:pPr>
      <w:r>
        <w:rPr>
          <w:rFonts w:hint="eastAsia"/>
          <w:sz w:val="24"/>
        </w:rPr>
        <w:t>11. GB/T 9948《石化和化工装置用无缝钢管》；</w:t>
      </w:r>
    </w:p>
    <w:p w14:paraId="02840CC5">
      <w:pPr>
        <w:pStyle w:val="60"/>
        <w:numPr>
          <w:ilvl w:val="0"/>
          <w:numId w:val="2"/>
        </w:numPr>
        <w:spacing w:before="50" w:line="360" w:lineRule="auto"/>
        <w:ind w:firstLine="6" w:firstLineChars="0"/>
        <w:rPr>
          <w:rFonts w:eastAsiaTheme="minorEastAsia"/>
          <w:sz w:val="24"/>
        </w:rPr>
      </w:pPr>
      <w:r>
        <w:rPr>
          <w:rFonts w:hint="eastAsia"/>
          <w:sz w:val="24"/>
        </w:rPr>
        <w:t>12. NB/T 47019《锅炉、热交换器用管订货技术条件》；</w:t>
      </w:r>
    </w:p>
    <w:p w14:paraId="02840CC5">
      <w:pPr>
        <w:pStyle w:val="60"/>
        <w:numPr>
          <w:ilvl w:val="0"/>
          <w:numId w:val="2"/>
        </w:numPr>
        <w:spacing w:before="50" w:line="360" w:lineRule="auto"/>
        <w:ind w:firstLine="6" w:firstLineChars="0"/>
        <w:rPr>
          <w:rFonts w:eastAsiaTheme="minorEastAsia"/>
          <w:sz w:val="24"/>
        </w:rPr>
      </w:pPr>
      <w:r>
        <w:rPr>
          <w:rFonts w:hint="eastAsia"/>
          <w:sz w:val="24"/>
        </w:rPr>
        <w:t>13. GB/T 8923《涂覆涂料前钢材表面处理》；</w:t>
      </w:r>
    </w:p>
    <w:p w14:paraId="02840CC5">
      <w:pPr>
        <w:pStyle w:val="60"/>
        <w:numPr>
          <w:ilvl w:val="0"/>
          <w:numId w:val="2"/>
        </w:numPr>
        <w:spacing w:before="50" w:line="360" w:lineRule="auto"/>
        <w:ind w:firstLine="6" w:firstLineChars="0"/>
        <w:rPr>
          <w:rFonts w:eastAsiaTheme="minorEastAsia"/>
          <w:sz w:val="24"/>
        </w:rPr>
      </w:pPr>
      <w:r>
        <w:rPr>
          <w:rFonts w:hint="eastAsia"/>
          <w:sz w:val="24"/>
        </w:rPr>
        <w:t>14. NB/T 10558《压力容器涂敷与运输包装》；</w:t>
      </w:r>
    </w:p>
    <w:p w14:paraId="02840CC5">
      <w:pPr>
        <w:pStyle w:val="60"/>
        <w:numPr>
          <w:ilvl w:val="0"/>
          <w:numId w:val="2"/>
        </w:numPr>
        <w:spacing w:before="50" w:line="360" w:lineRule="auto"/>
        <w:ind w:firstLine="6" w:firstLineChars="0"/>
        <w:rPr>
          <w:rFonts w:eastAsiaTheme="minorEastAsia"/>
          <w:sz w:val="24"/>
        </w:rPr>
      </w:pPr>
      <w:r>
        <w:rPr>
          <w:rFonts w:hint="eastAsia"/>
          <w:sz w:val="24"/>
        </w:rPr>
        <w:t>15. HG/T 20584《钢制化工容器制造技术要求》；</w:t>
      </w:r>
    </w:p>
    <w:p w14:paraId="02840CC5">
      <w:pPr>
        <w:pStyle w:val="60"/>
        <w:numPr>
          <w:ilvl w:val="0"/>
          <w:numId w:val="2"/>
        </w:numPr>
        <w:spacing w:before="50" w:line="360" w:lineRule="auto"/>
        <w:ind w:firstLine="6" w:firstLineChars="0"/>
        <w:rPr>
          <w:rFonts w:eastAsiaTheme="minorEastAsia"/>
          <w:sz w:val="24"/>
        </w:rPr>
      </w:pPr>
      <w:r>
        <w:rPr>
          <w:rFonts w:hint="eastAsia"/>
          <w:sz w:val="24"/>
        </w:rPr>
        <w:t>16. GB/T 713-2023《承压设备用钢板和钢带》；</w:t>
      </w:r>
    </w:p>
    <w:p w14:paraId="02840CC5">
      <w:pPr>
        <w:pStyle w:val="60"/>
        <w:numPr>
          <w:ilvl w:val="0"/>
          <w:numId w:val="2"/>
        </w:numPr>
        <w:spacing w:before="50" w:line="360" w:lineRule="auto"/>
        <w:ind w:firstLine="6" w:firstLineChars="0"/>
        <w:rPr>
          <w:rFonts w:eastAsiaTheme="minorEastAsia"/>
          <w:sz w:val="24"/>
        </w:rPr>
      </w:pPr>
      <w:r>
        <w:rPr>
          <w:rFonts w:hint="eastAsia"/>
          <w:sz w:val="24"/>
        </w:rPr>
        <w:t>17. HG/T 20615《钢制管法兰（Class系列）》；</w:t>
      </w:r>
    </w:p>
    <w:p w14:paraId="02840CC5">
      <w:pPr>
        <w:pStyle w:val="60"/>
        <w:numPr>
          <w:ilvl w:val="0"/>
          <w:numId w:val="2"/>
        </w:numPr>
        <w:spacing w:before="50" w:line="360" w:lineRule="auto"/>
        <w:ind w:firstLine="6" w:firstLineChars="0"/>
        <w:rPr>
          <w:rFonts w:eastAsiaTheme="minorEastAsia"/>
          <w:sz w:val="24"/>
        </w:rPr>
      </w:pPr>
      <w:r>
        <w:rPr>
          <w:rFonts w:hint="eastAsia"/>
          <w:sz w:val="24"/>
        </w:rPr>
        <w:t>18. 相关材料标准；</w:t>
      </w:r>
    </w:p>
    <w:p w14:paraId="02840CC5">
      <w:pPr>
        <w:pStyle w:val="60"/>
        <w:numPr>
          <w:ilvl w:val="0"/>
          <w:numId w:val="2"/>
        </w:numPr>
        <w:spacing w:before="50" w:line="360" w:lineRule="auto"/>
        <w:ind w:firstLine="6" w:firstLineChars="0"/>
        <w:rPr>
          <w:rFonts w:eastAsiaTheme="minorEastAsia"/>
          <w:sz w:val="24"/>
        </w:rPr>
      </w:pPr>
      <w:r>
        <w:rPr>
          <w:rFonts w:hint="eastAsia"/>
          <w:sz w:val="24"/>
        </w:rPr>
        <w:t>19. 其余相关标准。</w:t>
      </w:r>
    </w:p>
    <w:p w14:paraId="7F213CDD">
      <w:pPr>
        <w:pStyle w:val="60"/>
        <w:numPr>
          <w:ilvl w:val="0"/>
          <w:numId w:val="1"/>
        </w:numPr>
        <w:spacing w:line="360" w:lineRule="auto"/>
        <w:ind w:firstLineChars="0"/>
        <w:outlineLvl w:val="0"/>
        <w:rPr>
          <w:rFonts w:hint="eastAsia" w:ascii="宋体" w:hAnsi="宋体"/>
          <w:b/>
          <w:sz w:val="24"/>
        </w:rPr>
      </w:pPr>
      <w:bookmarkStart w:id="9" w:name="_Toc24205860"/>
      <w:bookmarkStart w:id="10" w:name="_Toc454578295"/>
      <w:bookmarkStart w:id="11" w:name="_Toc102238042"/>
      <w:bookmarkStart w:id="12" w:name="_Toc176165876"/>
      <w:r>
        <w:rPr>
          <w:rFonts w:hint="eastAsia" w:ascii="宋体" w:hAnsi="宋体"/>
          <w:b/>
          <w:sz w:val="24"/>
        </w:rPr>
        <w:t>监理工作范围</w:t>
      </w:r>
      <w:bookmarkEnd w:id="9"/>
      <w:bookmarkEnd w:id="10"/>
      <w:bookmarkEnd w:id="11"/>
      <w:bookmarkEnd w:id="12"/>
    </w:p>
    <w:p w14:paraId="3928DC40">
      <w:pPr>
        <w:spacing w:line="360" w:lineRule="auto"/>
        <w:ind w:firstLine="480" w:firstLineChars="200"/>
        <w:rPr>
          <w:rFonts w:hint="eastAsia" w:ascii="宋体" w:hAnsi="宋体"/>
          <w:sz w:val="24"/>
        </w:rPr>
      </w:pPr>
      <w:r>
        <w:rPr>
          <w:rFonts w:hint="eastAsia" w:ascii="宋体" w:hAnsi="宋体"/>
          <w:sz w:val="24"/>
        </w:rPr>
        <w:t>本项目中监造范围包括：1台急冷塔余热换热器（主体材质：壳体/管箱材质待确认，设备类型：设计寿命20年）；1台混合气二级热交换器（主体材质：壳体/管箱材质待确认，设备类型：设计寿命20年）；1台混合气三级热交换器（主体材质：壳体/管箱材质待确认，设备类型：设计寿命20年）；1台急冷塔塔顶余热汽化器（主体材质：壳体/管箱材质待确认，设备类型：设计寿命15年）；1台换热器（主体材质：壳体/管箱材质待确认，设备类型：设计寿命20年）。</w:t>
      </w:r>
    </w:p>
    <w:p w14:paraId="6F9667BA">
      <w:pPr>
        <w:pStyle w:val="59"/>
        <w:spacing w:line="360" w:lineRule="auto"/>
        <w:ind w:firstLine="480"/>
        <w:rPr>
          <w:rFonts w:hint="eastAsia" w:ascii="宋体" w:hAnsi="宋体"/>
          <w:sz w:val="24"/>
          <w:szCs w:val="36"/>
        </w:rPr>
      </w:pPr>
      <w:r>
        <w:rPr>
          <w:rFonts w:hint="eastAsia" w:ascii="宋体" w:hAnsi="宋体"/>
          <w:sz w:val="24"/>
          <w:szCs w:val="36"/>
        </w:rPr>
        <w:t>根据《技术协议》和《监理合同》，采用如下监理方式：</w:t>
      </w:r>
    </w:p>
    <w:tbl>
      <w:tblPr>
        <w:tblStyle w:val="33"/>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812"/>
        <w:gridCol w:w="2552"/>
      </w:tblGrid>
      <w:tr w14:paraId="3D24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r>
              <w:rPr>
                <w:rFonts w:ascii="宋体" w:hAnsi="宋体" w:eastAsia="宋体"/>
                <w:sz w:val="21"/>
              </w:rPr>
              <w:t>No.</w:t>
            </w:r>
          </w:p>
        </w:tc>
        <w:tc>
          <w:tcPr>
            <w:tcW w:w="5812" w:type="dxa"/>
            <w:vAlign w:val="center"/>
          </w:tcPr>
          <w:p>
            <w:r>
              <w:rPr>
                <w:rFonts w:ascii="宋体" w:hAnsi="宋体" w:eastAsia="宋体"/>
                <w:sz w:val="21"/>
              </w:rPr>
              <w:t>监理地点</w:t>
            </w:r>
          </w:p>
        </w:tc>
        <w:tc>
          <w:tcPr>
            <w:tcW w:w="2552" w:type="dxa"/>
            <w:vAlign w:val="center"/>
          </w:tcPr>
          <w:p>
            <w:r>
              <w:rPr>
                <w:rFonts w:ascii="宋体" w:hAnsi="宋体" w:eastAsia="宋体"/>
                <w:sz w:val="21"/>
              </w:rPr>
              <w:t>监理方式</w:t>
            </w:r>
          </w:p>
        </w:tc>
      </w:tr>
      <w:tr w14:paraId="6C137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r>
              <w:rPr>
                <w:rFonts w:ascii="宋体" w:hAnsi="宋体" w:eastAsia="宋体"/>
                <w:sz w:val="21"/>
              </w:rPr>
              <w:t>1</w:t>
            </w:r>
          </w:p>
        </w:tc>
        <w:tc>
          <w:tcPr>
            <w:tcW w:w="5812" w:type="dxa"/>
            <w:vAlign w:val="center"/>
          </w:tcPr>
          <w:p>
            <w:r>
              <w:rPr>
                <w:rFonts w:ascii="宋体" w:hAnsi="宋体" w:eastAsia="宋体"/>
                <w:sz w:val="21"/>
              </w:rPr>
              <w:t>江苏中圣压力容器装备制造有限公司</w:t>
            </w:r>
          </w:p>
        </w:tc>
        <w:tc>
          <w:tcPr>
            <w:tcW w:w="2552" w:type="dxa"/>
            <w:vAlign w:val="center"/>
          </w:tcPr>
          <w:p>
            <w:r>
              <w:rPr>
                <w:rFonts w:ascii="宋体" w:hAnsi="宋体" w:eastAsia="宋体"/>
                <w:sz w:val="21"/>
              </w:rPr>
              <w:t>驻厂监造</w:t>
            </w:r>
          </w:p>
        </w:tc>
      </w:tr>
    </w:tbl>
    <w:p w14:paraId="410C9C92">
      <w:pPr>
        <w:pStyle w:val="60"/>
        <w:numPr>
          <w:ilvl w:val="0"/>
          <w:numId w:val="1"/>
        </w:numPr>
        <w:spacing w:line="360" w:lineRule="auto"/>
        <w:ind w:firstLineChars="0"/>
        <w:outlineLvl w:val="0"/>
        <w:rPr>
          <w:rFonts w:hint="eastAsia" w:ascii="宋体" w:hAnsi="宋体"/>
          <w:sz w:val="24"/>
        </w:rPr>
      </w:pPr>
      <w:bookmarkStart w:id="14" w:name="_Toc176165877"/>
      <w:r>
        <w:rPr>
          <w:rFonts w:hint="eastAsia" w:ascii="宋体" w:hAnsi="宋体"/>
          <w:b/>
          <w:sz w:val="24"/>
        </w:rPr>
        <w:t>监理项目组织机构及人员配备原则</w:t>
      </w:r>
      <w:bookmarkEnd w:id="13"/>
      <w:bookmarkEnd w:id="14"/>
    </w:p>
    <w:p w14:paraId="1BDF5A25">
      <w:pPr>
        <w:spacing w:line="360" w:lineRule="auto"/>
        <w:ind w:firstLine="480" w:firstLineChars="200"/>
        <w:rPr>
          <w:rFonts w:hint="eastAsia" w:ascii="宋体" w:hAnsi="宋体"/>
          <w:sz w:val="24"/>
        </w:rPr>
      </w:pPr>
      <w:r>
        <w:rPr>
          <w:rFonts w:ascii="宋体" w:hAnsi="宋体"/>
          <w:sz w:val="24"/>
        </w:rPr>
        <w:drawing>
          <wp:inline distT="0" distB="0" distL="0" distR="0">
            <wp:extent cx="4843145" cy="359473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846805" cy="3597681"/>
                    </a:xfrm>
                    <a:prstGeom prst="rect">
                      <a:avLst/>
                    </a:prstGeom>
                    <a:noFill/>
                    <a:ln>
                      <a:noFill/>
                    </a:ln>
                  </pic:spPr>
                </pic:pic>
              </a:graphicData>
            </a:graphic>
          </wp:inline>
        </w:drawing>
      </w:r>
    </w:p>
    <w:p w14:paraId="6291ED65">
      <w:pPr>
        <w:spacing w:line="360" w:lineRule="auto"/>
        <w:ind w:firstLine="480" w:firstLineChars="200"/>
        <w:rPr>
          <w:rFonts w:hint="eastAsia" w:ascii="宋体" w:hAnsi="宋体"/>
          <w:sz w:val="24"/>
        </w:rPr>
      </w:pPr>
      <w:r>
        <w:rPr>
          <w:rFonts w:hint="eastAsia" w:ascii="宋体" w:hAnsi="宋体"/>
          <w:sz w:val="24"/>
        </w:rPr>
        <w:t>本项目设备监理的组织机构：</w:t>
      </w:r>
    </w:p>
    <w:p w14:paraId="134D1F20">
      <w:pPr>
        <w:spacing w:line="360" w:lineRule="auto"/>
        <w:ind w:firstLine="480" w:firstLineChars="200"/>
        <w:rPr>
          <w:rFonts w:hint="eastAsia" w:ascii="宋体" w:hAnsi="宋体"/>
          <w:color w:val="FF0000"/>
          <w:sz w:val="24"/>
        </w:rPr>
      </w:pPr>
      <w:r>
        <w:rPr>
          <w:rFonts w:ascii="宋体" w:hAnsi="宋体"/>
          <w:color w:val="FF0000"/>
          <w:sz w:val="24"/>
        </w:rPr>
        <mc:AlternateContent>
          <mc:Choice Requires="wps">
            <w:drawing>
              <wp:anchor distT="0" distB="0" distL="114300" distR="114300" simplePos="0" relativeHeight="251659264" behindDoc="0" locked="0" layoutInCell="1" allowOverlap="1">
                <wp:simplePos x="0" y="0"/>
                <wp:positionH relativeFrom="column">
                  <wp:posOffset>2047875</wp:posOffset>
                </wp:positionH>
                <wp:positionV relativeFrom="paragraph">
                  <wp:posOffset>195580</wp:posOffset>
                </wp:positionV>
                <wp:extent cx="1438275" cy="581025"/>
                <wp:effectExtent l="9525" t="8890" r="9525" b="10160"/>
                <wp:wrapNone/>
                <wp:docPr id="24" name="矩形: 圆角 24"/>
                <wp:cNvGraphicFramePr/>
                <a:graphic xmlns:a="http://schemas.openxmlformats.org/drawingml/2006/main">
                  <a:graphicData uri="http://schemas.microsoft.com/office/word/2010/wordprocessingShape">
                    <wps:wsp>
                      <wps:cNvSpPr>
                        <a:spLocks noChangeArrowheads="1"/>
                      </wps:cNvSpPr>
                      <wps:spPr bwMode="auto">
                        <a:xfrm>
                          <a:off x="0" y="0"/>
                          <a:ext cx="1438275" cy="581025"/>
                        </a:xfrm>
                        <a:prstGeom prst="roundRect">
                          <a:avLst>
                            <a:gd name="adj" fmla="val 16667"/>
                          </a:avLst>
                        </a:prstGeom>
                        <a:solidFill>
                          <a:srgbClr val="FFFFFF"/>
                        </a:solidFill>
                        <a:ln w="9525">
                          <a:solidFill>
                            <a:srgbClr val="17365D"/>
                          </a:solidFill>
                          <a:round/>
                        </a:ln>
                      </wps:spPr>
                      <wps:txbx>
                        <w:txbxContent>
                          <w:p w14:paraId="310CECBB">
                            <w:pPr>
                              <w:spacing w:line="240" w:lineRule="exact"/>
                              <w:jc w:val="center"/>
                              <w:rPr>
                                <w:rFonts w:hint="eastAsia" w:ascii="黑体" w:hAnsi="黑体" w:eastAsia="黑体"/>
                                <w:szCs w:val="21"/>
                              </w:rPr>
                            </w:pPr>
                            <w:r>
                              <w:rPr>
                                <w:rFonts w:ascii="黑体" w:hAnsi="黑体" w:eastAsia="黑体"/>
                                <w:szCs w:val="21"/>
                              </w:rPr>
                              <w:t>项目总监</w:t>
                            </w:r>
                          </w:p>
                          <w:p w14:paraId="57E27CC0">
                            <w:pPr>
                              <w:spacing w:line="240" w:lineRule="exact"/>
                              <w:jc w:val="center"/>
                              <w:rPr>
                                <w:rFonts w:hint="eastAsia" w:ascii="黑体" w:hAnsi="黑体" w:eastAsia="黑体"/>
                                <w:szCs w:val="21"/>
                              </w:rPr>
                            </w:pPr>
                            <w:r>
                              <w:rPr>
                                <w:rFonts w:hint="eastAsia" w:ascii="黑体" w:hAnsi="黑体" w:eastAsia="黑体"/>
                                <w:szCs w:val="21"/>
                              </w:rPr>
                              <w:t>吴晓俣</w:t>
                            </w:r>
                          </w:p>
                          <w:p w14:paraId="26D8C225">
                            <w:pPr>
                              <w:spacing w:line="240" w:lineRule="exact"/>
                              <w:jc w:val="center"/>
                              <w:rPr>
                                <w:rFonts w:hint="eastAsia" w:ascii="黑体" w:hAnsi="黑体" w:eastAsia="黑体"/>
                                <w:szCs w:val="21"/>
                              </w:rPr>
                            </w:pPr>
                          </w:p>
                        </w:txbxContent>
                      </wps:txbx>
                      <wps:bodyPr rot="0" vert="horz" wrap="square" lIns="91440" tIns="45720" rIns="91440" bIns="45720" anchor="t" anchorCtr="0" upright="1">
                        <a:noAutofit/>
                      </wps:bodyPr>
                    </wps:wsp>
                  </a:graphicData>
                </a:graphic>
              </wp:anchor>
            </w:drawing>
          </mc:Choice>
          <mc:Fallback>
            <w:pict>
              <v:roundrect id="矩形: 圆角 24" o:spid="_x0000_s1026" o:spt="2" style="position:absolute;left:0pt;margin-left:161.25pt;margin-top:15.4pt;height:45.75pt;width:113.25pt;z-index:251659264;mso-width-relative:page;mso-height-relative:page;" fillcolor="#FFFFFF" filled="t" stroked="t" coordsize="21600,21600" arcsize="0.166666666666667" o:gfxdata="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nyXdnNUA&#10;AAAKAQAADwAAAAAAAAABACAAAAAiAAAAZHJzL2Rvd25yZXYueG1sUEsBAhQAFAAAAAgAh07iQJ+4&#10;LYdbAgAAqAQAAA4AAAAAAAAAAQAgAAAAJAEAAGRycy9lMm9Eb2MueG1sUEsFBgAAAAAGAAYAWQEA&#10;APEFAAAAAA==&#10;">
                <v:fill on="t" focussize="0,0"/>
                <v:stroke color="#17365D" joinstyle="round"/>
                <v:imagedata o:title=""/>
                <o:lock v:ext="edit" aspectratio="f"/>
                <v:textbox>
                  <w:txbxContent>
                    <w:p w14:paraId="310CECBB">
                      <w:pPr>
                        <w:spacing w:line="240" w:lineRule="exact"/>
                        <w:jc w:val="center"/>
                        <w:rPr>
                          <w:rFonts w:hint="eastAsia" w:ascii="黑体" w:hAnsi="黑体" w:eastAsia="黑体"/>
                          <w:szCs w:val="21"/>
                        </w:rPr>
                      </w:pPr>
                      <w:r>
                        <w:rPr>
                          <w:rFonts w:ascii="黑体" w:hAnsi="黑体" w:eastAsia="黑体"/>
                          <w:szCs w:val="21"/>
                        </w:rPr>
                        <w:t>项目总监</w:t>
                      </w:r>
                    </w:p>
                    <w:p w14:paraId="57E27CC0">
                      <w:pPr>
                        <w:spacing w:line="240" w:lineRule="exact"/>
                        <w:jc w:val="center"/>
                        <w:rPr>
                          <w:rFonts w:hint="eastAsia" w:ascii="黑体" w:hAnsi="黑体" w:eastAsia="黑体"/>
                          <w:szCs w:val="21"/>
                        </w:rPr>
                      </w:pPr>
                      <w:r>
                        <w:rPr>
                          <w:rFonts w:hint="eastAsia" w:ascii="黑体" w:hAnsi="黑体" w:eastAsia="黑体"/>
                          <w:szCs w:val="21"/>
                        </w:rPr>
                        <w:t>吴晓俣</w:t>
                      </w:r>
                    </w:p>
                    <w:p w14:paraId="26D8C225">
                      <w:pPr>
                        <w:spacing w:line="240" w:lineRule="exact"/>
                        <w:jc w:val="center"/>
                        <w:rPr>
                          <w:rFonts w:hint="eastAsia" w:ascii="黑体" w:hAnsi="黑体" w:eastAsia="黑体"/>
                          <w:szCs w:val="21"/>
                        </w:rPr>
                      </w:pPr>
                    </w:p>
                  </w:txbxContent>
                </v:textbox>
              </v:roundrect>
            </w:pict>
          </mc:Fallback>
        </mc:AlternateContent>
      </w:r>
    </w:p>
    <w:p w14:paraId="10AFC387">
      <w:pPr>
        <w:spacing w:line="360" w:lineRule="auto"/>
        <w:ind w:firstLine="480" w:firstLineChars="200"/>
        <w:rPr>
          <w:rFonts w:hint="eastAsia" w:ascii="宋体" w:hAnsi="宋体"/>
          <w:color w:val="FF0000"/>
          <w:sz w:val="24"/>
        </w:rPr>
      </w:pPr>
    </w:p>
    <w:p w14:paraId="41ECCEA9">
      <w:pPr>
        <w:spacing w:line="360" w:lineRule="auto"/>
        <w:ind w:firstLine="480" w:firstLineChars="200"/>
        <w:rPr>
          <w:rFonts w:hint="eastAsia" w:ascii="宋体" w:hAnsi="宋体"/>
          <w:color w:val="FF0000"/>
          <w:sz w:val="24"/>
        </w:rPr>
      </w:pPr>
      <w:r>
        <w:rPr>
          <w:rFonts w:ascii="宋体" w:hAnsi="宋体"/>
          <w:color w:val="FF0000"/>
          <w:sz w:val="24"/>
        </w:rPr>
        <mc:AlternateContent>
          <mc:Choice Requires="wps">
            <w:drawing>
              <wp:anchor distT="0" distB="0" distL="114300" distR="114300" simplePos="0" relativeHeight="251665408" behindDoc="0" locked="0" layoutInCell="1" allowOverlap="1">
                <wp:simplePos x="0" y="0"/>
                <wp:positionH relativeFrom="column">
                  <wp:posOffset>3476625</wp:posOffset>
                </wp:positionH>
                <wp:positionV relativeFrom="paragraph">
                  <wp:posOffset>182245</wp:posOffset>
                </wp:positionV>
                <wp:extent cx="1438275" cy="581025"/>
                <wp:effectExtent l="9525" t="8890" r="9525" b="10160"/>
                <wp:wrapNone/>
                <wp:docPr id="23" name="矩形: 圆角 23"/>
                <wp:cNvGraphicFramePr/>
                <a:graphic xmlns:a="http://schemas.openxmlformats.org/drawingml/2006/main">
                  <a:graphicData uri="http://schemas.microsoft.com/office/word/2010/wordprocessingShape">
                    <wps:wsp>
                      <wps:cNvSpPr>
                        <a:spLocks noChangeArrowheads="1"/>
                      </wps:cNvSpPr>
                      <wps:spPr bwMode="auto">
                        <a:xfrm>
                          <a:off x="0" y="0"/>
                          <a:ext cx="1438275" cy="581025"/>
                        </a:xfrm>
                        <a:prstGeom prst="roundRect">
                          <a:avLst>
                            <a:gd name="adj" fmla="val 16667"/>
                          </a:avLst>
                        </a:prstGeom>
                        <a:solidFill>
                          <a:srgbClr val="FFFFFF"/>
                        </a:solidFill>
                        <a:ln w="9525">
                          <a:solidFill>
                            <a:srgbClr val="17365D"/>
                          </a:solidFill>
                          <a:round/>
                        </a:ln>
                      </wps:spPr>
                      <wps:txbx>
                        <w:txbxContent>
                          <w:p w14:paraId="6E154285">
                            <w:pPr>
                              <w:spacing w:line="240" w:lineRule="exact"/>
                              <w:jc w:val="center"/>
                              <w:rPr>
                                <w:rFonts w:hint="eastAsia" w:ascii="黑体" w:hAnsi="黑体" w:eastAsia="黑体"/>
                                <w:szCs w:val="21"/>
                              </w:rPr>
                            </w:pPr>
                            <w:r>
                              <w:rPr>
                                <w:rFonts w:hint="eastAsia" w:ascii="黑体" w:hAnsi="黑体" w:eastAsia="黑体"/>
                                <w:szCs w:val="21"/>
                              </w:rPr>
                              <w:t>HSE负责人</w:t>
                            </w:r>
                          </w:p>
                          <w:p w14:paraId="40A5DA95">
                            <w:pPr>
                              <w:spacing w:line="240" w:lineRule="exact"/>
                              <w:jc w:val="center"/>
                              <w:rPr>
                                <w:rFonts w:hint="eastAsia" w:ascii="黑体" w:hAnsi="黑体" w:eastAsia="黑体"/>
                                <w:szCs w:val="21"/>
                              </w:rPr>
                            </w:pPr>
                            <w:r>
                              <w:rPr>
                                <w:rFonts w:hint="eastAsia" w:ascii="黑体" w:hAnsi="黑体" w:eastAsia="黑体"/>
                                <w:szCs w:val="21"/>
                              </w:rPr>
                              <w:t>易锋</w:t>
                            </w:r>
                          </w:p>
                          <w:p w14:paraId="35BF601E">
                            <w:pPr>
                              <w:spacing w:line="240" w:lineRule="exact"/>
                              <w:jc w:val="center"/>
                              <w:rPr>
                                <w:rFonts w:hint="eastAsia" w:ascii="黑体" w:hAnsi="黑体" w:eastAsia="黑体"/>
                                <w:szCs w:val="21"/>
                              </w:rPr>
                            </w:pPr>
                          </w:p>
                        </w:txbxContent>
                      </wps:txbx>
                      <wps:bodyPr rot="0" vert="horz" wrap="square" lIns="91440" tIns="45720" rIns="91440" bIns="45720" anchor="t" anchorCtr="0" upright="1">
                        <a:noAutofit/>
                      </wps:bodyPr>
                    </wps:wsp>
                  </a:graphicData>
                </a:graphic>
              </wp:anchor>
            </w:drawing>
          </mc:Choice>
          <mc:Fallback>
            <w:pict>
              <v:roundrect id="矩形: 圆角 23" o:spid="_x0000_s1026" o:spt="2" style="position:absolute;left:0pt;margin-left:273.75pt;margin-top:14.35pt;height:45.75pt;width:113.25pt;z-index:251665408;mso-width-relative:page;mso-height-relative:page;" fillcolor="#FFFFFF" filled="t" stroked="t" coordsize="21600,21600" arcsize="0.166666666666667" o:gfxdata="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HICynW&#10;AAAACgEAAA8AAAAAAAAAAQAgAAAAIgAAAGRycy9kb3ducmV2LnhtbFBLAQIUABQAAAAIAIdO4kCw&#10;j2fZWwIAAKgEAAAOAAAAAAAAAAEAIAAAACUBAABkcnMvZTJvRG9jLnhtbFBLBQYAAAAABgAGAFkB&#10;AADyBQAAAAA=&#10;">
                <v:fill on="t" focussize="0,0"/>
                <v:stroke color="#17365D" joinstyle="round"/>
                <v:imagedata o:title=""/>
                <o:lock v:ext="edit" aspectratio="f"/>
                <v:textbox>
                  <w:txbxContent>
                    <w:p w14:paraId="6E154285">
                      <w:pPr>
                        <w:spacing w:line="240" w:lineRule="exact"/>
                        <w:jc w:val="center"/>
                        <w:rPr>
                          <w:rFonts w:hint="eastAsia" w:ascii="黑体" w:hAnsi="黑体" w:eastAsia="黑体"/>
                          <w:szCs w:val="21"/>
                        </w:rPr>
                      </w:pPr>
                      <w:r>
                        <w:rPr>
                          <w:rFonts w:hint="eastAsia" w:ascii="黑体" w:hAnsi="黑体" w:eastAsia="黑体"/>
                          <w:szCs w:val="21"/>
                        </w:rPr>
                        <w:t>HSE负责人</w:t>
                      </w:r>
                    </w:p>
                    <w:p w14:paraId="40A5DA95">
                      <w:pPr>
                        <w:spacing w:line="240" w:lineRule="exact"/>
                        <w:jc w:val="center"/>
                        <w:rPr>
                          <w:rFonts w:hint="eastAsia" w:ascii="黑体" w:hAnsi="黑体" w:eastAsia="黑体"/>
                          <w:szCs w:val="21"/>
                        </w:rPr>
                      </w:pPr>
                      <w:r>
                        <w:rPr>
                          <w:rFonts w:hint="eastAsia" w:ascii="黑体" w:hAnsi="黑体" w:eastAsia="黑体"/>
                          <w:szCs w:val="21"/>
                        </w:rPr>
                        <w:t>易锋</w:t>
                      </w:r>
                    </w:p>
                    <w:p w14:paraId="35BF601E">
                      <w:pPr>
                        <w:spacing w:line="240" w:lineRule="exact"/>
                        <w:jc w:val="center"/>
                        <w:rPr>
                          <w:rFonts w:hint="eastAsia" w:ascii="黑体" w:hAnsi="黑体" w:eastAsia="黑体"/>
                          <w:szCs w:val="21"/>
                        </w:rPr>
                      </w:pPr>
                    </w:p>
                  </w:txbxContent>
                </v:textbox>
              </v:roundrect>
            </w:pict>
          </mc:Fallback>
        </mc:AlternateContent>
      </w:r>
      <w:r>
        <w:rPr>
          <w:rFonts w:ascii="宋体" w:hAnsi="宋体"/>
          <w:color w:val="FF0000"/>
          <w:sz w:val="24"/>
        </w:rPr>
        <mc:AlternateContent>
          <mc:Choice Requires="wps">
            <w:drawing>
              <wp:anchor distT="0" distB="0" distL="114300" distR="114300" simplePos="0" relativeHeight="251663360" behindDoc="0" locked="0" layoutInCell="1" allowOverlap="1">
                <wp:simplePos x="0" y="0"/>
                <wp:positionH relativeFrom="column">
                  <wp:posOffset>600075</wp:posOffset>
                </wp:positionH>
                <wp:positionV relativeFrom="paragraph">
                  <wp:posOffset>182245</wp:posOffset>
                </wp:positionV>
                <wp:extent cx="1438275" cy="581025"/>
                <wp:effectExtent l="9525" t="8890" r="9525" b="10160"/>
                <wp:wrapNone/>
                <wp:docPr id="22" name="矩形: 圆角 22"/>
                <wp:cNvGraphicFramePr/>
                <a:graphic xmlns:a="http://schemas.openxmlformats.org/drawingml/2006/main">
                  <a:graphicData uri="http://schemas.microsoft.com/office/word/2010/wordprocessingShape">
                    <wps:wsp>
                      <wps:cNvSpPr>
                        <a:spLocks noChangeArrowheads="1"/>
                      </wps:cNvSpPr>
                      <wps:spPr bwMode="auto">
                        <a:xfrm>
                          <a:off x="0" y="0"/>
                          <a:ext cx="1438275" cy="581025"/>
                        </a:xfrm>
                        <a:prstGeom prst="roundRect">
                          <a:avLst>
                            <a:gd name="adj" fmla="val 16667"/>
                          </a:avLst>
                        </a:prstGeom>
                        <a:solidFill>
                          <a:srgbClr val="FFFFFF"/>
                        </a:solidFill>
                        <a:ln w="9525">
                          <a:solidFill>
                            <a:srgbClr val="17365D"/>
                          </a:solidFill>
                          <a:round/>
                        </a:ln>
                      </wps:spPr>
                      <wps:txbx>
                        <w:txbxContent>
                          <w:p w14:paraId="2185D260">
                            <w:pPr>
                              <w:spacing w:line="240" w:lineRule="exact"/>
                              <w:jc w:val="center"/>
                              <w:rPr>
                                <w:rFonts w:hint="eastAsia" w:ascii="黑体" w:hAnsi="黑体" w:eastAsia="黑体"/>
                                <w:szCs w:val="21"/>
                              </w:rPr>
                            </w:pPr>
                            <w:r>
                              <w:rPr>
                                <w:rFonts w:hint="eastAsia" w:ascii="黑体" w:hAnsi="黑体" w:eastAsia="黑体"/>
                                <w:szCs w:val="21"/>
                              </w:rPr>
                              <w:t>技术负责人</w:t>
                            </w:r>
                          </w:p>
                          <w:p w14:paraId="25E47BDA">
                            <w:pPr>
                              <w:spacing w:line="240" w:lineRule="exact"/>
                              <w:jc w:val="center"/>
                              <w:rPr>
                                <w:rFonts w:hint="eastAsia" w:ascii="黑体" w:hAnsi="黑体" w:eastAsia="黑体"/>
                                <w:szCs w:val="21"/>
                              </w:rPr>
                            </w:pPr>
                            <w:r>
                              <w:rPr>
                                <w:rFonts w:hint="eastAsia" w:ascii="黑体" w:hAnsi="黑体" w:eastAsia="黑体"/>
                                <w:szCs w:val="21"/>
                              </w:rPr>
                              <w:t>吴晓俣</w:t>
                            </w:r>
                          </w:p>
                          <w:p w14:paraId="49701EE8">
                            <w:pPr>
                              <w:spacing w:line="240" w:lineRule="exact"/>
                              <w:jc w:val="center"/>
                              <w:rPr>
                                <w:rFonts w:hint="eastAsia" w:ascii="黑体" w:hAnsi="黑体" w:eastAsia="黑体"/>
                                <w:szCs w:val="21"/>
                              </w:rPr>
                            </w:pPr>
                          </w:p>
                        </w:txbxContent>
                      </wps:txbx>
                      <wps:bodyPr rot="0" vert="horz" wrap="square" lIns="91440" tIns="45720" rIns="91440" bIns="45720" anchor="t" anchorCtr="0" upright="1">
                        <a:noAutofit/>
                      </wps:bodyPr>
                    </wps:wsp>
                  </a:graphicData>
                </a:graphic>
              </wp:anchor>
            </w:drawing>
          </mc:Choice>
          <mc:Fallback>
            <w:pict>
              <v:roundrect id="矩形: 圆角 22" o:spid="_x0000_s1026" o:spt="2" style="position:absolute;left:0pt;margin-left:47.25pt;margin-top:14.35pt;height:45.75pt;width:113.25pt;z-index:251663360;mso-width-relative:page;mso-height-relative:page;" fillcolor="#FFFFFF" filled="t" stroked="t" coordsize="21600,21600" arcsize="0.166666666666667" o:gfxdata="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zxdVutUA&#10;AAAJAQAADwAAAAAAAAABACAAAAAiAAAAZHJzL2Rvd25yZXYueG1sUEsBAhQAFAAAAAgAh07iQBLp&#10;2YNbAgAAqAQAAA4AAAAAAAAAAQAgAAAAJAEAAGRycy9lMm9Eb2MueG1sUEsFBgAAAAAGAAYAWQEA&#10;APEFAAAAAA==&#10;">
                <v:fill on="t" focussize="0,0"/>
                <v:stroke color="#17365D" joinstyle="round"/>
                <v:imagedata o:title=""/>
                <o:lock v:ext="edit" aspectratio="f"/>
                <v:textbox>
                  <w:txbxContent>
                    <w:p w14:paraId="2185D260">
                      <w:pPr>
                        <w:spacing w:line="240" w:lineRule="exact"/>
                        <w:jc w:val="center"/>
                        <w:rPr>
                          <w:rFonts w:hint="eastAsia" w:ascii="黑体" w:hAnsi="黑体" w:eastAsia="黑体"/>
                          <w:szCs w:val="21"/>
                        </w:rPr>
                      </w:pPr>
                      <w:r>
                        <w:rPr>
                          <w:rFonts w:hint="eastAsia" w:ascii="黑体" w:hAnsi="黑体" w:eastAsia="黑体"/>
                          <w:szCs w:val="21"/>
                        </w:rPr>
                        <w:t>技术负责人</w:t>
                      </w:r>
                    </w:p>
                    <w:p w14:paraId="25E47BDA">
                      <w:pPr>
                        <w:spacing w:line="240" w:lineRule="exact"/>
                        <w:jc w:val="center"/>
                        <w:rPr>
                          <w:rFonts w:hint="eastAsia" w:ascii="黑体" w:hAnsi="黑体" w:eastAsia="黑体"/>
                          <w:szCs w:val="21"/>
                        </w:rPr>
                      </w:pPr>
                      <w:r>
                        <w:rPr>
                          <w:rFonts w:hint="eastAsia" w:ascii="黑体" w:hAnsi="黑体" w:eastAsia="黑体"/>
                          <w:szCs w:val="21"/>
                        </w:rPr>
                        <w:t>吴晓俣</w:t>
                      </w:r>
                    </w:p>
                    <w:p w14:paraId="49701EE8">
                      <w:pPr>
                        <w:spacing w:line="240" w:lineRule="exact"/>
                        <w:jc w:val="center"/>
                        <w:rPr>
                          <w:rFonts w:hint="eastAsia" w:ascii="黑体" w:hAnsi="黑体" w:eastAsia="黑体"/>
                          <w:szCs w:val="21"/>
                        </w:rPr>
                      </w:pPr>
                    </w:p>
                  </w:txbxContent>
                </v:textbox>
              </v:roundrect>
            </w:pict>
          </mc:Fallback>
        </mc:AlternateContent>
      </w:r>
      <w:r>
        <w:rPr>
          <w:rFonts w:ascii="宋体" w:hAnsi="宋体"/>
          <w:color w:val="FF0000"/>
          <w:sz w:val="24"/>
        </w:rPr>
        <mc:AlternateContent>
          <mc:Choice Requires="wps">
            <w:drawing>
              <wp:anchor distT="0" distB="0" distL="114300" distR="114300" simplePos="0" relativeHeight="251660288" behindDoc="0" locked="0" layoutInCell="1" allowOverlap="1">
                <wp:simplePos x="0" y="0"/>
                <wp:positionH relativeFrom="column">
                  <wp:posOffset>2762250</wp:posOffset>
                </wp:positionH>
                <wp:positionV relativeFrom="paragraph">
                  <wp:posOffset>182245</wp:posOffset>
                </wp:positionV>
                <wp:extent cx="0" cy="671195"/>
                <wp:effectExtent l="57150" t="8890" r="57150" b="15240"/>
                <wp:wrapNone/>
                <wp:docPr id="21" name="直接箭头连接符 21"/>
                <wp:cNvGraphicFramePr/>
                <a:graphic xmlns:a="http://schemas.openxmlformats.org/drawingml/2006/main">
                  <a:graphicData uri="http://schemas.microsoft.com/office/word/2010/wordprocessingShape">
                    <wps:wsp>
                      <wps:cNvCnPr>
                        <a:cxnSpLocks noChangeShapeType="1"/>
                      </wps:cNvCnPr>
                      <wps:spPr bwMode="auto">
                        <a:xfrm>
                          <a:off x="0" y="0"/>
                          <a:ext cx="0" cy="671195"/>
                        </a:xfrm>
                        <a:prstGeom prst="straightConnector1">
                          <a:avLst/>
                        </a:prstGeom>
                        <a:noFill/>
                        <a:ln w="9525">
                          <a:solidFill>
                            <a:srgbClr val="548DD4"/>
                          </a:solidFill>
                          <a:round/>
                          <a:tailEnd type="triangle" w="med" len="med"/>
                        </a:ln>
                      </wps:spPr>
                      <wps:bodyPr/>
                    </wps:wsp>
                  </a:graphicData>
                </a:graphic>
              </wp:anchor>
            </w:drawing>
          </mc:Choice>
          <mc:Fallback>
            <w:pict>
              <v:shape id="_x0000_s1026" o:spid="_x0000_s1026" o:spt="32" type="#_x0000_t32" style="position:absolute;left:0pt;margin-left:217.5pt;margin-top:14.35pt;height:52.85pt;width:0pt;z-index:251660288;mso-width-relative:page;mso-height-relative:page;" filled="f" stroked="t" coordsize="21600,21600" o:gfxdata="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hEsJdUAAAAKAQAADwAAAAAAAAABACAA&#10;AAAiAAAAZHJzL2Rvd25yZXYueG1sUEsBAhQAFAAAAAgAh07iQLXnAwUQAgAA7QMAAA4AAAAAAAAA&#10;AQAgAAAAJAEAAGRycy9lMm9Eb2MueG1sUEsFBgAAAAAGAAYAWQEAAKYFAAAAAA==&#10;">
                <v:fill on="f" focussize="0,0"/>
                <v:stroke color="#548DD4" joinstyle="round" endarrow="block"/>
                <v:imagedata o:title=""/>
                <o:lock v:ext="edit" aspectratio="f"/>
              </v:shape>
            </w:pict>
          </mc:Fallback>
        </mc:AlternateContent>
      </w:r>
    </w:p>
    <w:p w14:paraId="34C10136">
      <w:pPr>
        <w:spacing w:line="360" w:lineRule="auto"/>
        <w:ind w:firstLine="480" w:firstLineChars="200"/>
        <w:rPr>
          <w:rFonts w:hint="eastAsia" w:ascii="宋体" w:hAnsi="宋体"/>
          <w:color w:val="FF0000"/>
          <w:sz w:val="24"/>
        </w:rPr>
      </w:pPr>
      <w:r>
        <w:rPr>
          <w:rFonts w:ascii="宋体" w:hAnsi="宋体"/>
          <w:color w:val="FF0000"/>
          <w:sz w:val="24"/>
        </w:rPr>
        <mc:AlternateContent>
          <mc:Choice Requires="wps">
            <w:drawing>
              <wp:anchor distT="0" distB="0" distL="114300" distR="114300" simplePos="0" relativeHeight="251662336" behindDoc="0" locked="0" layoutInCell="1" allowOverlap="1">
                <wp:simplePos x="0" y="0"/>
                <wp:positionH relativeFrom="column">
                  <wp:posOffset>2762250</wp:posOffset>
                </wp:positionH>
                <wp:positionV relativeFrom="paragraph">
                  <wp:posOffset>137160</wp:posOffset>
                </wp:positionV>
                <wp:extent cx="714375" cy="0"/>
                <wp:effectExtent l="19050" t="60960" r="9525" b="53340"/>
                <wp:wrapNone/>
                <wp:docPr id="20" name="直接箭头连接符 20"/>
                <wp:cNvGraphicFramePr/>
                <a:graphic xmlns:a="http://schemas.openxmlformats.org/drawingml/2006/main">
                  <a:graphicData uri="http://schemas.microsoft.com/office/word/2010/wordprocessingShape">
                    <wps:wsp>
                      <wps:cNvCnPr>
                        <a:cxnSpLocks noChangeShapeType="1"/>
                      </wps:cNvCnPr>
                      <wps:spPr bwMode="auto">
                        <a:xfrm flipH="1">
                          <a:off x="0" y="0"/>
                          <a:ext cx="714375" cy="0"/>
                        </a:xfrm>
                        <a:prstGeom prst="straightConnector1">
                          <a:avLst/>
                        </a:prstGeom>
                        <a:noFill/>
                        <a:ln w="9525">
                          <a:solidFill>
                            <a:srgbClr val="0070C0"/>
                          </a:solidFill>
                          <a:round/>
                          <a:tailEnd type="triangle" w="med" len="med"/>
                        </a:ln>
                      </wps:spPr>
                      <wps:bodyPr/>
                    </wps:wsp>
                  </a:graphicData>
                </a:graphic>
              </wp:anchor>
            </w:drawing>
          </mc:Choice>
          <mc:Fallback>
            <w:pict>
              <v:shape id="_x0000_s1026" o:spid="_x0000_s1026" o:spt="32" type="#_x0000_t32" style="position:absolute;left:0pt;flip:x;margin-left:217.5pt;margin-top:10.8pt;height:0pt;width:56.25pt;z-index:251662336;mso-width-relative:page;mso-height-relative:page;" filled="f" stroked="t" coordsize="21600,21600" o:gfxdata="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nQo/NgAAAAJAQAADwAA&#10;AAAAAAABACAAAAAiAAAAZHJzL2Rvd25yZXYueG1sUEsBAhQAFAAAAAgAh07iQAfJ0CkWAgAA9wMA&#10;AA4AAAAAAAAAAQAgAAAAJwEAAGRycy9lMm9Eb2MueG1sUEsFBgAAAAAGAAYAWQEAAK8FAAAAAA==&#10;">
                <v:fill on="f" focussize="0,0"/>
                <v:stroke color="#0070C0" joinstyle="round" endarrow="block"/>
                <v:imagedata o:title=""/>
                <o:lock v:ext="edit" aspectratio="f"/>
              </v:shape>
            </w:pict>
          </mc:Fallback>
        </mc:AlternateContent>
      </w:r>
      <w:r>
        <w:rPr>
          <w:rFonts w:ascii="宋体" w:hAnsi="宋体"/>
          <w:color w:val="FF0000"/>
          <w:sz w:val="24"/>
        </w:rPr>
        <mc:AlternateContent>
          <mc:Choice Requires="wps">
            <w:drawing>
              <wp:anchor distT="0" distB="0" distL="114300" distR="114300" simplePos="0" relativeHeight="251661312" behindDoc="0" locked="0" layoutInCell="1" allowOverlap="1">
                <wp:simplePos x="0" y="0"/>
                <wp:positionH relativeFrom="column">
                  <wp:posOffset>2038350</wp:posOffset>
                </wp:positionH>
                <wp:positionV relativeFrom="paragraph">
                  <wp:posOffset>137160</wp:posOffset>
                </wp:positionV>
                <wp:extent cx="723900" cy="0"/>
                <wp:effectExtent l="9525" t="60960" r="19050" b="53340"/>
                <wp:wrapNone/>
                <wp:docPr id="19" name="直接箭头连接符 19"/>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straightConnector1">
                          <a:avLst/>
                        </a:prstGeom>
                        <a:noFill/>
                        <a:ln w="9525">
                          <a:solidFill>
                            <a:srgbClr val="0070C0"/>
                          </a:solidFill>
                          <a:round/>
                          <a:tailEnd type="triangle" w="med" len="med"/>
                        </a:ln>
                      </wps:spPr>
                      <wps:bodyPr/>
                    </wps:wsp>
                  </a:graphicData>
                </a:graphic>
              </wp:anchor>
            </w:drawing>
          </mc:Choice>
          <mc:Fallback>
            <w:pict>
              <v:shape id="_x0000_s1026" o:spid="_x0000_s1026" o:spt="32" type="#_x0000_t32" style="position:absolute;left:0pt;margin-left:160.5pt;margin-top:10.8pt;height:0pt;width:57pt;z-index:251661312;mso-width-relative:page;mso-height-relative:page;" filled="f" stroked="t" coordsize="21600,21600" o:gfxdata="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3Pw0ENcAAAAJAQAADwAAAAAAAAAB&#10;ACAAAAAiAAAAZHJzL2Rvd25yZXYueG1sUEsBAhQAFAAAAAgAh07iQKcKAGIRAgAA7QMAAA4AAAAA&#10;AAAAAQAgAAAAJgEAAGRycy9lMm9Eb2MueG1sUEsFBgAAAAAGAAYAWQEAAKkFAAAAAA==&#10;">
                <v:fill on="f" focussize="0,0"/>
                <v:stroke color="#0070C0" joinstyle="round" endarrow="block"/>
                <v:imagedata o:title=""/>
                <o:lock v:ext="edit" aspectratio="f"/>
              </v:shape>
            </w:pict>
          </mc:Fallback>
        </mc:AlternateContent>
      </w:r>
    </w:p>
    <w:p w14:paraId="6B5849F5">
      <w:pPr>
        <w:spacing w:line="360" w:lineRule="auto"/>
        <w:ind w:firstLine="480" w:firstLineChars="200"/>
        <w:rPr>
          <w:rFonts w:hint="eastAsia" w:ascii="宋体" w:hAnsi="宋体"/>
          <w:color w:val="FF0000"/>
          <w:sz w:val="24"/>
        </w:rPr>
      </w:pPr>
      <w:r>
        <w:rPr>
          <w:rFonts w:ascii="宋体" w:hAnsi="宋体"/>
          <w:color w:val="FF0000"/>
          <w:sz w:val="24"/>
        </w:rPr>
        <mc:AlternateContent>
          <mc:Choice Requires="wps">
            <w:drawing>
              <wp:anchor distT="0" distB="0" distL="114300" distR="114300" simplePos="0" relativeHeight="251664384" behindDoc="0" locked="0" layoutInCell="1" allowOverlap="1">
                <wp:simplePos x="0" y="0"/>
                <wp:positionH relativeFrom="column">
                  <wp:posOffset>2037715</wp:posOffset>
                </wp:positionH>
                <wp:positionV relativeFrom="paragraph">
                  <wp:posOffset>182245</wp:posOffset>
                </wp:positionV>
                <wp:extent cx="1438275" cy="748030"/>
                <wp:effectExtent l="0" t="0" r="28575" b="13970"/>
                <wp:wrapNone/>
                <wp:docPr id="18" name="矩形: 圆角 18"/>
                <wp:cNvGraphicFramePr/>
                <a:graphic xmlns:a="http://schemas.openxmlformats.org/drawingml/2006/main">
                  <a:graphicData uri="http://schemas.microsoft.com/office/word/2010/wordprocessingShape">
                    <wps:wsp>
                      <wps:cNvSpPr>
                        <a:spLocks noChangeArrowheads="1"/>
                      </wps:cNvSpPr>
                      <wps:spPr bwMode="auto">
                        <a:xfrm>
                          <a:off x="0" y="0"/>
                          <a:ext cx="1438275" cy="748177"/>
                        </a:xfrm>
                        <a:prstGeom prst="roundRect">
                          <a:avLst>
                            <a:gd name="adj" fmla="val 16667"/>
                          </a:avLst>
                        </a:prstGeom>
                        <a:solidFill>
                          <a:srgbClr val="FFFFFF"/>
                        </a:solidFill>
                        <a:ln w="9525">
                          <a:solidFill>
                            <a:srgbClr val="17365D"/>
                          </a:solidFill>
                          <a:round/>
                        </a:ln>
                      </wps:spPr>
                      <wps:txbx>
                        <w:txbxContent>
                          <w:p w14:paraId="5B7E67C6">
                            <w:pPr>
                              <w:spacing w:line="240" w:lineRule="exact"/>
                              <w:jc w:val="center"/>
                              <w:rPr>
                                <w:rFonts w:hint="eastAsia" w:ascii="黑体" w:hAnsi="黑体" w:eastAsia="黑体"/>
                                <w:szCs w:val="21"/>
                              </w:rPr>
                            </w:pPr>
                            <w:r>
                              <w:rPr>
                                <w:rFonts w:ascii="黑体" w:hAnsi="黑体" w:eastAsia="黑体"/>
                                <w:szCs w:val="21"/>
                              </w:rPr>
                              <w:t>项目经理</w:t>
                            </w:r>
                            <w:r>
                              <w:rPr>
                                <w:rFonts w:hint="eastAsia" w:ascii="黑体" w:hAnsi="黑体" w:eastAsia="黑体"/>
                                <w:szCs w:val="21"/>
                              </w:rPr>
                              <w:t>（总监代表）</w:t>
                            </w:r>
                          </w:p>
                          <w:p w14:paraId="1B5FEEAC">
                            <w:pPr>
                              <w:spacing w:line="240" w:lineRule="exact"/>
                              <w:jc w:val="center"/>
                              <w:rPr>
                                <w:rFonts w:hint="eastAsia" w:ascii="黑体" w:hAnsi="黑体" w:eastAsia="黑体"/>
                                <w:szCs w:val="21"/>
                              </w:rPr>
                            </w:pPr>
                            <w:r>
                              <w:rPr>
                                <w:rFonts w:hint="eastAsia" w:ascii="黑体" w:hAnsi="黑体" w:eastAsia="黑体"/>
                                <w:szCs w:val="21"/>
                              </w:rPr>
                              <w:t>赵文强</w:t>
                            </w:r>
                          </w:p>
                          <w:p w14:paraId="4A540ADC">
                            <w:pPr>
                              <w:spacing w:line="240" w:lineRule="exact"/>
                              <w:jc w:val="center"/>
                              <w:rPr>
                                <w:rFonts w:hint="eastAsia" w:ascii="黑体" w:hAnsi="黑体" w:eastAsia="黑体"/>
                                <w:szCs w:val="21"/>
                              </w:rPr>
                            </w:pPr>
                          </w:p>
                        </w:txbxContent>
                      </wps:txbx>
                      <wps:bodyPr rot="0" vert="horz" wrap="square" lIns="91440" tIns="45720" rIns="91440" bIns="45720" anchor="t" anchorCtr="0" upright="1">
                        <a:noAutofit/>
                      </wps:bodyPr>
                    </wps:wsp>
                  </a:graphicData>
                </a:graphic>
              </wp:anchor>
            </w:drawing>
          </mc:Choice>
          <mc:Fallback>
            <w:pict>
              <v:roundrect id="矩形: 圆角 18" o:spid="_x0000_s1026" o:spt="2" style="position:absolute;left:0pt;margin-left:160.45pt;margin-top:14.35pt;height:58.9pt;width:113.25pt;z-index:251664384;mso-width-relative:page;mso-height-relative:page;" fillcolor="#FFFFFF" filled="t" stroked="t" coordsize="21600,21600" arcsize="0.166666666666667" o:gfxdata="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w&#10;2XmR1wAAAAoBAAAPAAAAAAAAAAEAIAAAACIAAABkcnMvZG93bnJldi54bWxQSwECFAAUAAAACACH&#10;TuJAX59X3F4CAACoBAAADgAAAAAAAAABACAAAAAmAQAAZHJzL2Uyb0RvYy54bWxQSwUGAAAAAAYA&#10;BgBZAQAA9gUAAAAA&#10;">
                <v:fill on="t" focussize="0,0"/>
                <v:stroke color="#17365D" joinstyle="round"/>
                <v:imagedata o:title=""/>
                <o:lock v:ext="edit" aspectratio="f"/>
                <v:textbox>
                  <w:txbxContent>
                    <w:p w14:paraId="5B7E67C6">
                      <w:pPr>
                        <w:spacing w:line="240" w:lineRule="exact"/>
                        <w:jc w:val="center"/>
                        <w:rPr>
                          <w:rFonts w:hint="eastAsia" w:ascii="黑体" w:hAnsi="黑体" w:eastAsia="黑体"/>
                          <w:szCs w:val="21"/>
                        </w:rPr>
                      </w:pPr>
                      <w:r>
                        <w:rPr>
                          <w:rFonts w:ascii="黑体" w:hAnsi="黑体" w:eastAsia="黑体"/>
                          <w:szCs w:val="21"/>
                        </w:rPr>
                        <w:t>项目经理</w:t>
                      </w:r>
                      <w:r>
                        <w:rPr>
                          <w:rFonts w:hint="eastAsia" w:ascii="黑体" w:hAnsi="黑体" w:eastAsia="黑体"/>
                          <w:szCs w:val="21"/>
                        </w:rPr>
                        <w:t>（总监代表）</w:t>
                      </w:r>
                    </w:p>
                    <w:p w14:paraId="1B5FEEAC">
                      <w:pPr>
                        <w:spacing w:line="240" w:lineRule="exact"/>
                        <w:jc w:val="center"/>
                        <w:rPr>
                          <w:rFonts w:hint="eastAsia" w:ascii="黑体" w:hAnsi="黑体" w:eastAsia="黑体"/>
                          <w:szCs w:val="21"/>
                        </w:rPr>
                      </w:pPr>
                      <w:r>
                        <w:rPr>
                          <w:rFonts w:hint="eastAsia" w:ascii="黑体" w:hAnsi="黑体" w:eastAsia="黑体"/>
                          <w:szCs w:val="21"/>
                        </w:rPr>
                        <w:t>赵文强</w:t>
                      </w:r>
                    </w:p>
                    <w:p w14:paraId="4A540ADC">
                      <w:pPr>
                        <w:spacing w:line="240" w:lineRule="exact"/>
                        <w:jc w:val="center"/>
                        <w:rPr>
                          <w:rFonts w:hint="eastAsia" w:ascii="黑体" w:hAnsi="黑体" w:eastAsia="黑体"/>
                          <w:szCs w:val="21"/>
                        </w:rPr>
                      </w:pPr>
                    </w:p>
                  </w:txbxContent>
                </v:textbox>
              </v:roundrect>
            </w:pict>
          </mc:Fallback>
        </mc:AlternateContent>
      </w:r>
    </w:p>
    <w:p w14:paraId="351A37F0">
      <w:pPr>
        <w:spacing w:line="360" w:lineRule="auto"/>
        <w:ind w:firstLine="480" w:firstLineChars="200"/>
        <w:rPr>
          <w:rFonts w:hint="eastAsia" w:ascii="宋体" w:hAnsi="宋体"/>
          <w:color w:val="FF0000"/>
          <w:sz w:val="24"/>
        </w:rPr>
      </w:pPr>
    </w:p>
    <w:p w14:paraId="49E0B672">
      <w:pPr>
        <w:spacing w:line="360" w:lineRule="auto"/>
        <w:ind w:firstLine="480" w:firstLineChars="200"/>
        <w:rPr>
          <w:rFonts w:hint="eastAsia" w:ascii="宋体" w:hAnsi="宋体"/>
          <w:color w:val="FF0000"/>
          <w:sz w:val="24"/>
        </w:rPr>
      </w:pPr>
    </w:p>
    <w:p w14:paraId="4CC41F76">
      <w:pPr>
        <w:spacing w:line="360" w:lineRule="auto"/>
        <w:ind w:firstLine="480" w:firstLineChars="200"/>
        <w:rPr>
          <w:rFonts w:hint="eastAsia" w:ascii="宋体" w:hAnsi="宋体"/>
          <w:color w:val="FF0000"/>
          <w:sz w:val="24"/>
        </w:rPr>
      </w:pPr>
      <w:r>
        <w:rPr>
          <w:rFonts w:hint="eastAsia" w:ascii="宋体" w:hAnsi="宋体"/>
          <w:color w:val="FF0000"/>
          <w:sz w:val="24"/>
        </w:rPr>
        <mc:AlternateContent>
          <mc:Choice Requires="wps">
            <w:drawing>
              <wp:anchor distT="0" distB="0" distL="114300" distR="114300" simplePos="0" relativeHeight="251667456" behindDoc="0" locked="0" layoutInCell="1" allowOverlap="1">
                <wp:simplePos x="0" y="0"/>
                <wp:positionH relativeFrom="column">
                  <wp:posOffset>2750820</wp:posOffset>
                </wp:positionH>
                <wp:positionV relativeFrom="paragraph">
                  <wp:posOffset>44450</wp:posOffset>
                </wp:positionV>
                <wp:extent cx="45720" cy="502920"/>
                <wp:effectExtent l="38100" t="0" r="69215" b="50165"/>
                <wp:wrapNone/>
                <wp:docPr id="364808937" name="直接箭头连接符 12"/>
                <wp:cNvGraphicFramePr/>
                <a:graphic xmlns:a="http://schemas.openxmlformats.org/drawingml/2006/main">
                  <a:graphicData uri="http://schemas.microsoft.com/office/word/2010/wordprocessingShape">
                    <wps:wsp>
                      <wps:cNvCnPr/>
                      <wps:spPr>
                        <a:xfrm>
                          <a:off x="0" y="0"/>
                          <a:ext cx="45719" cy="5026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12" o:spid="_x0000_s1026" o:spt="32" type="#_x0000_t32" style="position:absolute;left:0pt;margin-left:216.6pt;margin-top:3.5pt;height:39.6pt;width:3.6pt;z-index:251667456;mso-width-relative:page;mso-height-relative:page;" filled="f" stroked="t" coordsize="21600,21600" o:gfxdata="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219h7tkAAAAIAQAADwAAAAAAAAABACAAAAAiAAAAZHJzL2Rvd25yZXYueG1sUEsBAhQAFAAAAAgA&#10;h07iQBIwXn0kAgAADwQAAA4AAAAAAAAAAQAgAAAAKAEAAGRycy9lMm9Eb2MueG1sUEsFBgAAAAAG&#10;AAYAWQEAAL4FAAAAAA==&#10;">
                <v:fill on="f" focussize="0,0"/>
                <v:stroke color="#4A7EBB [3204]" joinstyle="round" endarrow="block"/>
                <v:imagedata o:title=""/>
                <o:lock v:ext="edit" aspectratio="f"/>
              </v:shape>
            </w:pict>
          </mc:Fallback>
        </mc:AlternateContent>
      </w:r>
    </w:p>
    <w:p w14:paraId="1AF7C8DD">
      <w:pPr>
        <w:spacing w:line="360" w:lineRule="auto"/>
        <w:ind w:firstLine="480" w:firstLineChars="200"/>
        <w:rPr>
          <w:rFonts w:hint="eastAsia" w:ascii="宋体" w:hAnsi="宋体"/>
          <w:color w:val="FF0000"/>
          <w:sz w:val="24"/>
        </w:rPr>
      </w:pPr>
      <w:r>
        <w:rPr>
          <w:rFonts w:ascii="宋体" w:hAnsi="宋体"/>
          <w:color w:val="FF0000"/>
          <w:sz w:val="24"/>
        </w:rPr>
        <mc:AlternateContent>
          <mc:Choice Requires="wps">
            <w:drawing>
              <wp:anchor distT="0" distB="0" distL="114300" distR="114300" simplePos="0" relativeHeight="251666432" behindDoc="0" locked="0" layoutInCell="1" allowOverlap="1">
                <wp:simplePos x="0" y="0"/>
                <wp:positionH relativeFrom="column">
                  <wp:posOffset>1996440</wp:posOffset>
                </wp:positionH>
                <wp:positionV relativeFrom="paragraph">
                  <wp:posOffset>287020</wp:posOffset>
                </wp:positionV>
                <wp:extent cx="1595755" cy="502285"/>
                <wp:effectExtent l="0" t="0" r="24130" b="12065"/>
                <wp:wrapNone/>
                <wp:docPr id="10" name="矩形: 圆角 10"/>
                <wp:cNvGraphicFramePr/>
                <a:graphic xmlns:a="http://schemas.openxmlformats.org/drawingml/2006/main">
                  <a:graphicData uri="http://schemas.microsoft.com/office/word/2010/wordprocessingShape">
                    <wps:wsp>
                      <wps:cNvSpPr>
                        <a:spLocks noChangeArrowheads="1"/>
                      </wps:cNvSpPr>
                      <wps:spPr bwMode="auto">
                        <a:xfrm>
                          <a:off x="0" y="0"/>
                          <a:ext cx="1595558" cy="502285"/>
                        </a:xfrm>
                        <a:prstGeom prst="roundRect">
                          <a:avLst>
                            <a:gd name="adj" fmla="val 16667"/>
                          </a:avLst>
                        </a:prstGeom>
                        <a:solidFill>
                          <a:srgbClr val="FFFFFF"/>
                        </a:solidFill>
                        <a:ln w="9525">
                          <a:solidFill>
                            <a:srgbClr val="17365D"/>
                          </a:solidFill>
                          <a:round/>
                        </a:ln>
                      </wps:spPr>
                      <wps:txbx>
                        <w:txbxContent>
                          <w:p w14:paraId="252D11C6">
                            <w:pPr>
                              <w:spacing w:line="240" w:lineRule="exact"/>
                              <w:jc w:val="center"/>
                              <w:rPr>
                                <w:rFonts w:hint="eastAsia" w:ascii="黑体" w:hAnsi="黑体" w:eastAsia="黑体"/>
                                <w:szCs w:val="21"/>
                              </w:rPr>
                            </w:pPr>
                            <w:r>
                              <w:rPr>
                                <w:rFonts w:ascii="黑体" w:hAnsi="黑体" w:eastAsia="黑体"/>
                                <w:szCs w:val="21"/>
                              </w:rPr>
                              <w:t>设备监理师</w:t>
                            </w:r>
                          </w:p>
                          <w:p w14:paraId="69B53600">
                            <w:pPr>
                              <w:pStyle w:val="2"/>
                              <w:jc w:val="center"/>
                              <w:rPr>
                                <w:rFonts w:hint="eastAsia" w:ascii="黑体" w:hAnsi="黑体" w:eastAsia="黑体"/>
                                <w:szCs w:val="21"/>
                              </w:rPr>
                            </w:pPr>
                            <w:r>
                              <w:rPr>
                                <w:rFonts w:hint="eastAsia" w:ascii="黑体" w:hAnsi="黑体" w:eastAsia="黑体"/>
                                <w:szCs w:val="21"/>
                              </w:rPr>
                              <w:t>田培山</w:t>
                            </w:r>
                          </w:p>
                        </w:txbxContent>
                      </wps:txbx>
                      <wps:bodyPr rot="0" vert="horz" wrap="square" lIns="91440" tIns="45720" rIns="91440" bIns="45720" anchor="t" anchorCtr="0" upright="1">
                        <a:noAutofit/>
                      </wps:bodyPr>
                    </wps:wsp>
                  </a:graphicData>
                </a:graphic>
              </wp:anchor>
            </w:drawing>
          </mc:Choice>
          <mc:Fallback>
            <w:pict>
              <v:roundrect id="矩形: 圆角 10" o:spid="_x0000_s1026" o:spt="2" style="position:absolute;left:0pt;margin-left:157.2pt;margin-top:22.6pt;height:39.55pt;width:125.65pt;z-index:251666432;mso-width-relative:page;mso-height-relative:page;" fillcolor="#FFFFFF" filled="t" stroked="t" coordsize="21600,21600" arcsize="0.166666666666667" o:gfxdata="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E&#10;8Zy81wAAAAoBAAAPAAAAAAAAAAEAIAAAACIAAABkcnMvZG93bnJldi54bWxQSwECFAAUAAAACACH&#10;TuJAGatQBl4CAACoBAAADgAAAAAAAAABACAAAAAmAQAAZHJzL2Uyb0RvYy54bWxQSwUGAAAAAAYA&#10;BgBZAQAA9gUAAAAA&#10;">
                <v:fill on="t" focussize="0,0"/>
                <v:stroke color="#17365D" joinstyle="round"/>
                <v:imagedata o:title=""/>
                <o:lock v:ext="edit" aspectratio="f"/>
                <v:textbox>
                  <w:txbxContent>
                    <w:p w14:paraId="252D11C6">
                      <w:pPr>
                        <w:spacing w:line="240" w:lineRule="exact"/>
                        <w:jc w:val="center"/>
                        <w:rPr>
                          <w:rFonts w:hint="eastAsia" w:ascii="黑体" w:hAnsi="黑体" w:eastAsia="黑体"/>
                          <w:szCs w:val="21"/>
                        </w:rPr>
                      </w:pPr>
                      <w:r>
                        <w:rPr>
                          <w:rFonts w:ascii="黑体" w:hAnsi="黑体" w:eastAsia="黑体"/>
                          <w:szCs w:val="21"/>
                        </w:rPr>
                        <w:t>设备监理师</w:t>
                      </w:r>
                    </w:p>
                    <w:p w14:paraId="69B53600">
                      <w:pPr>
                        <w:pStyle w:val="2"/>
                        <w:jc w:val="center"/>
                        <w:rPr>
                          <w:rFonts w:hint="eastAsia" w:ascii="黑体" w:hAnsi="黑体" w:eastAsia="黑体"/>
                          <w:szCs w:val="21"/>
                        </w:rPr>
                      </w:pPr>
                      <w:r>
                        <w:rPr>
                          <w:rFonts w:hint="eastAsia" w:ascii="黑体" w:hAnsi="黑体" w:eastAsia="黑体"/>
                          <w:szCs w:val="21"/>
                        </w:rPr>
                        <w:t>田培山</w:t>
                      </w:r>
                    </w:p>
                  </w:txbxContent>
                </v:textbox>
              </v:roundrect>
            </w:pict>
          </mc:Fallback>
        </mc:AlternateContent>
      </w:r>
    </w:p>
    <w:p w14:paraId="2EE17557">
      <w:pPr>
        <w:spacing w:line="360" w:lineRule="auto"/>
        <w:ind w:firstLine="480" w:firstLineChars="200"/>
        <w:rPr>
          <w:rFonts w:hint="eastAsia" w:ascii="宋体" w:hAnsi="宋体"/>
          <w:color w:val="FF0000"/>
          <w:sz w:val="24"/>
        </w:rPr>
      </w:pPr>
    </w:p>
    <w:p w14:paraId="1A5F6725">
      <w:pPr>
        <w:spacing w:line="360" w:lineRule="auto"/>
        <w:ind w:firstLine="480" w:firstLineChars="200"/>
        <w:rPr>
          <w:rFonts w:hint="eastAsia" w:ascii="宋体" w:hAnsi="宋体"/>
          <w:color w:val="FF0000"/>
          <w:sz w:val="24"/>
        </w:rPr>
      </w:pPr>
    </w:p>
    <w:p w14:paraId="5904B66E">
      <w:pPr>
        <w:spacing w:line="360" w:lineRule="auto"/>
        <w:ind w:firstLine="480" w:firstLineChars="200"/>
        <w:rPr>
          <w:rFonts w:hint="eastAsia" w:ascii="宋体" w:hAnsi="宋体"/>
          <w:sz w:val="24"/>
        </w:rPr>
      </w:pPr>
      <w:r>
        <w:rPr>
          <w:rFonts w:hint="eastAsia" w:ascii="宋体" w:hAnsi="宋体"/>
          <w:sz w:val="24"/>
        </w:rPr>
        <w:t>根据制造单位生产的具体情况及用户的要求，配备相应数量的监造工程师，对于重要的外协外购件按约定安排监造工程师进行现场监造，结合监理工作的需要组成监理组。</w:t>
      </w:r>
    </w:p>
    <w:p w14:paraId="24D77873">
      <w:pPr>
        <w:spacing w:line="360" w:lineRule="auto"/>
        <w:ind w:firstLine="480" w:firstLineChars="200"/>
        <w:rPr>
          <w:rFonts w:hint="eastAsia" w:ascii="宋体" w:hAnsi="宋体"/>
          <w:sz w:val="24"/>
        </w:rPr>
      </w:pPr>
      <w:r>
        <w:rPr>
          <w:rFonts w:hint="eastAsia" w:ascii="宋体" w:hAnsi="宋体"/>
          <w:sz w:val="24"/>
        </w:rPr>
        <w:t>监造工程师应挑选检验过该类设备经验丰富、责任心强的在本单位注册执业的监造工程师担任，至少有二年（或以上）的监造业务经验，在相应专业岗位工作三年以上。监造工程师应相对固定，更换人员要取得委托方同意。项目经理原则上一抓到底，中途不更换。</w:t>
      </w:r>
    </w:p>
    <w:p w14:paraId="79348920">
      <w:pPr>
        <w:spacing w:line="360" w:lineRule="auto"/>
        <w:ind w:firstLine="480" w:firstLineChars="200"/>
        <w:rPr>
          <w:rFonts w:hint="eastAsia" w:ascii="宋体" w:hAnsi="宋体"/>
          <w:color w:val="FF0000"/>
          <w:sz w:val="24"/>
        </w:rPr>
      </w:pPr>
      <w:r>
        <w:rPr>
          <w:rFonts w:hint="eastAsia" w:ascii="宋体" w:hAnsi="宋体"/>
          <w:sz w:val="24"/>
        </w:rPr>
        <w:t>本次监造工程师信息如下：</w:t>
      </w:r>
      <w:r>
        <w:rPr>
          <w:rFonts w:ascii="宋体" w:hAnsi="宋体"/>
          <w:color w:val="FF0000"/>
          <w:sz w:val="24"/>
        </w:rPr>
        <w:t xml:space="preserve"> </w:t>
      </w:r>
    </w:p>
    <w:tbl>
      <w:tblPr>
        <w:tblStyle w:val="33"/>
        <w:tblW w:w="8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4"/>
        <w:gridCol w:w="1276"/>
        <w:gridCol w:w="1036"/>
        <w:gridCol w:w="2150"/>
        <w:gridCol w:w="1775"/>
        <w:gridCol w:w="1985"/>
      </w:tblGrid>
      <w:tr w14:paraId="2E0E3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744" w:type="dxa"/>
            <w:vAlign w:val="center"/>
          </w:tcPr>
          <w:p>
            <w:r>
              <w:rPr>
                <w:rFonts w:ascii="宋体" w:hAnsi="宋体" w:eastAsia="宋体"/>
                <w:sz w:val="21"/>
              </w:rPr>
              <w:t>No</w:t>
            </w:r>
          </w:p>
        </w:tc>
        <w:tc>
          <w:tcPr>
            <w:tcW w:w="1276" w:type="dxa"/>
            <w:vAlign w:val="center"/>
          </w:tcPr>
          <w:p>
            <w:r>
              <w:rPr>
                <w:rFonts w:ascii="宋体" w:hAnsi="宋体" w:eastAsia="宋体"/>
                <w:sz w:val="21"/>
              </w:rPr>
              <w:t>监造地点</w:t>
            </w:r>
          </w:p>
        </w:tc>
        <w:tc>
          <w:tcPr>
            <w:tcW w:w="1036" w:type="dxa"/>
            <w:vAlign w:val="center"/>
          </w:tcPr>
          <w:p>
            <w:r>
              <w:rPr>
                <w:rFonts w:ascii="宋体" w:hAnsi="宋体" w:eastAsia="宋体"/>
                <w:sz w:val="21"/>
              </w:rPr>
              <w:t>监造方式</w:t>
            </w:r>
          </w:p>
        </w:tc>
        <w:tc>
          <w:tcPr>
            <w:tcW w:w="2150" w:type="dxa"/>
            <w:vAlign w:val="center"/>
          </w:tcPr>
          <w:p>
            <w:r>
              <w:rPr>
                <w:rFonts w:ascii="宋体" w:hAnsi="宋体" w:eastAsia="宋体"/>
                <w:sz w:val="21"/>
              </w:rPr>
              <w:t>监造工程师</w:t>
            </w:r>
          </w:p>
        </w:tc>
        <w:tc>
          <w:tcPr>
            <w:tcW w:w="1775" w:type="dxa"/>
            <w:vAlign w:val="center"/>
          </w:tcPr>
          <w:p>
            <w:r>
              <w:rPr>
                <w:rFonts w:ascii="宋体" w:hAnsi="宋体" w:eastAsia="宋体"/>
                <w:sz w:val="21"/>
              </w:rPr>
              <w:t>项目经理</w:t>
            </w:r>
          </w:p>
        </w:tc>
        <w:tc>
          <w:tcPr>
            <w:tcW w:w="1985" w:type="dxa"/>
            <w:vAlign w:val="center"/>
          </w:tcPr>
          <w:p>
            <w:r>
              <w:rPr>
                <w:rFonts w:ascii="宋体" w:hAnsi="宋体" w:eastAsia="宋体"/>
                <w:sz w:val="21"/>
              </w:rPr>
              <w:t>项目总监</w:t>
            </w:r>
          </w:p>
        </w:tc>
      </w:tr>
      <w:tr w14:paraId="5C95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744" w:type="dxa"/>
            <w:vAlign w:val="center"/>
          </w:tcPr>
          <w:p>
            <w:r>
              <w:rPr>
                <w:rFonts w:ascii="宋体" w:hAnsi="宋体" w:eastAsia="宋体"/>
                <w:sz w:val="21"/>
              </w:rPr>
              <w:t>1</w:t>
            </w:r>
          </w:p>
        </w:tc>
        <w:tc>
          <w:tcPr>
            <w:tcW w:w="1276" w:type="dxa"/>
            <w:vAlign w:val="center"/>
          </w:tcPr>
          <w:p>
            <w:r>
              <w:rPr>
                <w:rFonts w:ascii="宋体" w:hAnsi="宋体" w:eastAsia="宋体"/>
                <w:sz w:val="21"/>
              </w:rPr>
              <w:t>江苏中圣压力容器装备制造有限公司</w:t>
            </w:r>
          </w:p>
        </w:tc>
        <w:tc>
          <w:tcPr>
            <w:tcW w:w="1036" w:type="dxa"/>
            <w:vAlign w:val="center"/>
          </w:tcPr>
          <w:p>
            <w:r>
              <w:rPr>
                <w:rFonts w:ascii="宋体" w:hAnsi="宋体" w:eastAsia="宋体"/>
                <w:sz w:val="21"/>
              </w:rPr>
              <w:t>驻厂监造</w:t>
            </w:r>
          </w:p>
        </w:tc>
        <w:tc>
          <w:tcPr>
            <w:tcW w:w="2150" w:type="dxa"/>
            <w:vAlign w:val="center"/>
          </w:tcPr>
          <w:p>
            <w:r>
              <w:rPr>
                <w:rFonts w:ascii="宋体" w:hAnsi="宋体" w:eastAsia="宋体"/>
                <w:sz w:val="21"/>
              </w:rPr>
            </w:r>
          </w:p>
        </w:tc>
        <w:tc>
          <w:tcPr>
            <w:tcW w:w="1775" w:type="dxa"/>
            <w:vAlign w:val="center"/>
          </w:tcPr>
          <w:p>
            <w:r>
              <w:rPr>
                <w:rFonts w:ascii="宋体" w:hAnsi="宋体" w:eastAsia="宋体"/>
                <w:sz w:val="21"/>
              </w:rPr>
            </w:r>
          </w:p>
        </w:tc>
        <w:tc>
          <w:tcPr>
            <w:tcW w:w="1985" w:type="dxa"/>
            <w:vAlign w:val="center"/>
          </w:tcPr>
          <w:p>
            <w:r>
              <w:rPr>
                <w:rFonts w:ascii="宋体" w:hAnsi="宋体" w:eastAsia="宋体"/>
                <w:sz w:val="21"/>
              </w:rPr>
            </w:r>
          </w:p>
        </w:tc>
      </w:tr>
    </w:tbl>
    <w:p w14:paraId="75061F87">
      <w:pPr>
        <w:pStyle w:val="60"/>
        <w:numPr>
          <w:ilvl w:val="0"/>
          <w:numId w:val="1"/>
        </w:numPr>
        <w:spacing w:line="360" w:lineRule="auto"/>
        <w:ind w:firstLineChars="0"/>
        <w:outlineLvl w:val="0"/>
        <w:rPr>
          <w:rFonts w:hint="eastAsia" w:ascii="宋体" w:hAnsi="宋体"/>
          <w:b/>
          <w:sz w:val="24"/>
        </w:rPr>
      </w:pPr>
      <w:bookmarkStart w:id="15" w:name="_Toc176165878"/>
      <w:bookmarkStart w:id="16" w:name="_Toc102238044"/>
      <w:r>
        <w:rPr>
          <w:rFonts w:hint="eastAsia" w:ascii="宋体" w:hAnsi="宋体"/>
          <w:b/>
          <w:sz w:val="24"/>
        </w:rPr>
        <w:t>监造人员的工作职责</w:t>
      </w:r>
      <w:bookmarkEnd w:id="15"/>
      <w:bookmarkEnd w:id="16"/>
    </w:p>
    <w:p w14:paraId="06F47722">
      <w:pPr>
        <w:spacing w:line="360" w:lineRule="auto"/>
        <w:ind w:firstLine="480" w:firstLineChars="200"/>
        <w:rPr>
          <w:rFonts w:hint="eastAsia" w:ascii="宋体" w:hAnsi="宋体"/>
          <w:sz w:val="24"/>
        </w:rPr>
      </w:pPr>
      <w:r>
        <w:rPr>
          <w:rFonts w:ascii="宋体" w:hAnsi="宋体"/>
          <w:sz w:val="24"/>
        </w:rPr>
        <w:t>1</w:t>
      </w:r>
      <w:r>
        <w:rPr>
          <w:rFonts w:hint="eastAsia" w:ascii="宋体" w:hAnsi="宋体"/>
          <w:sz w:val="24"/>
        </w:rPr>
        <w:t>、项目经理对派出的监理工程师进行安全教育和岗前培训，并向公司申请签发《监造任务派遣单》。</w:t>
      </w:r>
    </w:p>
    <w:p w14:paraId="6B8AF4D8">
      <w:pPr>
        <w:spacing w:line="360" w:lineRule="auto"/>
        <w:ind w:firstLine="480" w:firstLineChars="200"/>
        <w:rPr>
          <w:rFonts w:hint="eastAsia" w:ascii="宋体" w:hAnsi="宋体"/>
          <w:sz w:val="24"/>
        </w:rPr>
      </w:pPr>
      <w:r>
        <w:rPr>
          <w:rFonts w:hint="eastAsia" w:ascii="宋体" w:hAnsi="宋体"/>
          <w:sz w:val="24"/>
        </w:rPr>
        <w:t>2、监造工程师在项目经理的组织指导下，严格依据监造委托合同，履行监造职责，完成监造任务。</w:t>
      </w:r>
    </w:p>
    <w:p w14:paraId="4CDFE3BA">
      <w:pPr>
        <w:spacing w:line="360" w:lineRule="auto"/>
        <w:ind w:firstLine="480" w:firstLineChars="200"/>
        <w:rPr>
          <w:rFonts w:hint="eastAsia" w:ascii="宋体" w:hAnsi="宋体"/>
          <w:sz w:val="24"/>
        </w:rPr>
      </w:pPr>
      <w:r>
        <w:rPr>
          <w:rFonts w:ascii="宋体" w:hAnsi="宋体"/>
          <w:sz w:val="24"/>
        </w:rPr>
        <w:t>3</w:t>
      </w:r>
      <w:r>
        <w:rPr>
          <w:rFonts w:hint="eastAsia" w:ascii="宋体" w:hAnsi="宋体"/>
          <w:sz w:val="24"/>
        </w:rPr>
        <w:t>、监造工程师应熟悉监造物资的制造工艺，掌握制造过程中的质量技术要求和检验试验关键控制点，全面掌握设备制造进度。</w:t>
      </w:r>
    </w:p>
    <w:p w14:paraId="443027B8">
      <w:pPr>
        <w:spacing w:line="360" w:lineRule="auto"/>
        <w:ind w:firstLine="480" w:firstLineChars="200"/>
        <w:rPr>
          <w:rFonts w:hint="eastAsia" w:ascii="宋体" w:hAnsi="宋体"/>
          <w:sz w:val="24"/>
        </w:rPr>
      </w:pPr>
      <w:r>
        <w:rPr>
          <w:rFonts w:ascii="宋体" w:hAnsi="宋体"/>
          <w:sz w:val="24"/>
        </w:rPr>
        <w:t>4</w:t>
      </w:r>
      <w:r>
        <w:rPr>
          <w:rFonts w:hint="eastAsia" w:ascii="宋体" w:hAnsi="宋体"/>
          <w:sz w:val="24"/>
        </w:rPr>
        <w:t>、监造工程师应了解制造单位的质量保证措施和执行情况，了解加工过程的中间检查和主要零部件的装配和试验情况。</w:t>
      </w:r>
    </w:p>
    <w:p w14:paraId="06708CD2">
      <w:pPr>
        <w:spacing w:line="360" w:lineRule="auto"/>
        <w:ind w:firstLine="480" w:firstLineChars="200"/>
        <w:rPr>
          <w:rFonts w:hint="eastAsia" w:ascii="宋体" w:hAnsi="宋体"/>
          <w:sz w:val="24"/>
        </w:rPr>
      </w:pPr>
      <w:r>
        <w:rPr>
          <w:rFonts w:ascii="宋体" w:hAnsi="宋体"/>
          <w:sz w:val="24"/>
        </w:rPr>
        <w:t>5</w:t>
      </w:r>
      <w:r>
        <w:rPr>
          <w:rFonts w:hint="eastAsia" w:ascii="宋体" w:hAnsi="宋体"/>
          <w:sz w:val="24"/>
        </w:rPr>
        <w:t>、监造工程师应了解合同设备的设计变更内容和制造跟进情况。</w:t>
      </w:r>
    </w:p>
    <w:p w14:paraId="26D71900">
      <w:pPr>
        <w:spacing w:line="360" w:lineRule="auto"/>
        <w:ind w:firstLine="480" w:firstLineChars="200"/>
        <w:rPr>
          <w:rFonts w:hint="eastAsia" w:ascii="宋体" w:hAnsi="宋体"/>
          <w:sz w:val="24"/>
        </w:rPr>
      </w:pPr>
      <w:r>
        <w:rPr>
          <w:rFonts w:ascii="宋体" w:hAnsi="宋体"/>
          <w:sz w:val="24"/>
        </w:rPr>
        <w:t>6</w:t>
      </w:r>
      <w:r>
        <w:rPr>
          <w:rFonts w:hint="eastAsia" w:ascii="宋体" w:hAnsi="宋体"/>
          <w:sz w:val="24"/>
        </w:rPr>
        <w:t>、监造工程师负责监理记录的填写及检验数据的收集和整理，监理报告的编制，并对监理记录和监理报告的真实性、正确性、完整性负责。</w:t>
      </w:r>
    </w:p>
    <w:p w14:paraId="24E6DE22">
      <w:pPr>
        <w:spacing w:line="360" w:lineRule="auto"/>
        <w:ind w:firstLine="480" w:firstLineChars="200"/>
        <w:rPr>
          <w:rFonts w:hint="eastAsia" w:ascii="宋体" w:hAnsi="宋体"/>
          <w:sz w:val="24"/>
        </w:rPr>
      </w:pPr>
      <w:r>
        <w:rPr>
          <w:rFonts w:ascii="宋体" w:hAnsi="宋体"/>
          <w:sz w:val="24"/>
        </w:rPr>
        <w:t>7</w:t>
      </w:r>
      <w:r>
        <w:rPr>
          <w:rFonts w:hint="eastAsia" w:ascii="宋体" w:hAnsi="宋体"/>
          <w:sz w:val="24"/>
        </w:rPr>
        <w:t>、监造工程师履行产品预装、总装、出厂检验见证和签证手续。</w:t>
      </w:r>
    </w:p>
    <w:p w14:paraId="47E47C9E">
      <w:pPr>
        <w:spacing w:line="360" w:lineRule="auto"/>
        <w:ind w:firstLine="480" w:firstLineChars="200"/>
        <w:rPr>
          <w:rFonts w:hint="eastAsia" w:ascii="宋体" w:hAnsi="宋体"/>
          <w:sz w:val="24"/>
        </w:rPr>
      </w:pPr>
      <w:r>
        <w:rPr>
          <w:rFonts w:ascii="宋体" w:hAnsi="宋体"/>
          <w:sz w:val="24"/>
        </w:rPr>
        <w:t>8</w:t>
      </w:r>
      <w:r>
        <w:rPr>
          <w:rFonts w:hint="eastAsia" w:ascii="宋体" w:hAnsi="宋体"/>
          <w:sz w:val="24"/>
        </w:rPr>
        <w:t>、监造工程师负责汇报设备制造过程中发现的质量问题，如发现质量隐患、质量问题以及可能影响交货期的重大因素时，应及时报委托方，并以书面形式通知制造厂，要求制造厂采购有效措施予以整改，若制造厂延误或拒绝整改时，可责令其停工。</w:t>
      </w:r>
    </w:p>
    <w:p w14:paraId="238D9111">
      <w:pPr>
        <w:spacing w:line="360" w:lineRule="auto"/>
        <w:ind w:firstLine="480" w:firstLineChars="200"/>
        <w:rPr>
          <w:rFonts w:hint="eastAsia" w:ascii="宋体" w:hAnsi="宋体"/>
          <w:sz w:val="24"/>
        </w:rPr>
      </w:pPr>
      <w:r>
        <w:rPr>
          <w:rFonts w:ascii="宋体" w:hAnsi="宋体"/>
          <w:sz w:val="24"/>
        </w:rPr>
        <w:t>9</w:t>
      </w:r>
      <w:r>
        <w:rPr>
          <w:rFonts w:hint="eastAsia" w:ascii="宋体" w:hAnsi="宋体"/>
          <w:sz w:val="24"/>
        </w:rPr>
        <w:t>、监造工程师应在开始监造的1</w:t>
      </w:r>
      <w:r>
        <w:rPr>
          <w:rFonts w:ascii="宋体" w:hAnsi="宋体"/>
          <w:sz w:val="24"/>
        </w:rPr>
        <w:t>0</w:t>
      </w:r>
      <w:r>
        <w:rPr>
          <w:rFonts w:hint="eastAsia" w:ascii="宋体" w:hAnsi="宋体"/>
          <w:sz w:val="24"/>
        </w:rPr>
        <w:t>个工作日内，对制造厂的人员资质、生产工艺、装备能力和质保体系情况进行检查和评估，并向委托方提供质量风险评估报告，明确风险等级（高、中、低）。</w:t>
      </w:r>
    </w:p>
    <w:p w14:paraId="09030096">
      <w:pPr>
        <w:spacing w:line="360" w:lineRule="auto"/>
        <w:ind w:firstLine="480" w:firstLineChars="200"/>
        <w:rPr>
          <w:rFonts w:hint="eastAsia" w:ascii="宋体" w:hAnsi="宋体"/>
          <w:sz w:val="24"/>
        </w:rPr>
      </w:pPr>
      <w:r>
        <w:rPr>
          <w:rFonts w:ascii="宋体" w:hAnsi="宋体"/>
          <w:sz w:val="24"/>
        </w:rPr>
        <w:t>10</w:t>
      </w:r>
      <w:r>
        <w:rPr>
          <w:rFonts w:hint="eastAsia" w:ascii="宋体" w:hAnsi="宋体"/>
          <w:sz w:val="24"/>
        </w:rPr>
        <w:t>、监造工程师在获得设计相关图样、制造工艺、质量控制计划、生产进度计划后，1</w:t>
      </w:r>
      <w:r>
        <w:rPr>
          <w:rFonts w:ascii="宋体" w:hAnsi="宋体"/>
          <w:sz w:val="24"/>
        </w:rPr>
        <w:t>5</w:t>
      </w:r>
      <w:r>
        <w:rPr>
          <w:rFonts w:hint="eastAsia" w:ascii="宋体" w:hAnsi="宋体"/>
          <w:sz w:val="24"/>
        </w:rPr>
        <w:t>日内编制完成《监造实施细则》，并经项目经理和项目总监审核、批准、签发。</w:t>
      </w:r>
    </w:p>
    <w:p w14:paraId="533A31F0">
      <w:pPr>
        <w:spacing w:line="360" w:lineRule="auto"/>
        <w:ind w:firstLine="480" w:firstLineChars="200"/>
        <w:rPr>
          <w:rFonts w:hint="eastAsia" w:ascii="宋体" w:hAnsi="宋体"/>
          <w:sz w:val="24"/>
        </w:rPr>
      </w:pPr>
      <w:r>
        <w:rPr>
          <w:rFonts w:ascii="宋体" w:hAnsi="宋体"/>
          <w:sz w:val="24"/>
        </w:rPr>
        <w:t>11</w:t>
      </w:r>
      <w:r>
        <w:rPr>
          <w:rFonts w:hint="eastAsia" w:ascii="宋体" w:hAnsi="宋体"/>
          <w:sz w:val="24"/>
        </w:rPr>
        <w:t>、监造工程师每日填写设备监理日志，将现场检查见证情况填入设备监理记录表，每周出具一份监理周报，其内容包括：本周检验内容、发现的问题、前一周问题解决情况、设备制造进度等。</w:t>
      </w:r>
    </w:p>
    <w:p w14:paraId="7A9AADE8">
      <w:pPr>
        <w:spacing w:line="360" w:lineRule="auto"/>
        <w:ind w:firstLine="480" w:firstLineChars="200"/>
        <w:rPr>
          <w:rFonts w:hint="eastAsia" w:ascii="宋体" w:hAnsi="宋体"/>
          <w:sz w:val="24"/>
        </w:rPr>
      </w:pPr>
      <w:r>
        <w:rPr>
          <w:rFonts w:ascii="宋体" w:hAnsi="宋体"/>
          <w:sz w:val="24"/>
        </w:rPr>
        <w:t>12</w:t>
      </w:r>
      <w:r>
        <w:rPr>
          <w:rFonts w:hint="eastAsia" w:ascii="宋体" w:hAnsi="宋体"/>
          <w:sz w:val="24"/>
        </w:rPr>
        <w:t>、监造工程师应配备必要的用于平行检查且检定合格的检测器具。</w:t>
      </w:r>
    </w:p>
    <w:p w14:paraId="1B0EA8CD">
      <w:pPr>
        <w:spacing w:line="360" w:lineRule="auto"/>
        <w:ind w:firstLine="480" w:firstLineChars="200"/>
        <w:rPr>
          <w:rFonts w:hint="eastAsia" w:ascii="宋体" w:hAnsi="宋体"/>
          <w:sz w:val="24"/>
        </w:rPr>
      </w:pPr>
      <w:r>
        <w:rPr>
          <w:rFonts w:ascii="宋体" w:hAnsi="宋体"/>
          <w:sz w:val="24"/>
        </w:rPr>
        <w:t>13</w:t>
      </w:r>
      <w:r>
        <w:rPr>
          <w:rFonts w:hint="eastAsia" w:ascii="宋体" w:hAnsi="宋体"/>
          <w:sz w:val="24"/>
        </w:rPr>
        <w:t>、监造工程师应按委托方的通知或有关要求参加或组织召开预检验会议，与制造厂对接确定检验试验计划和质量控制点，并经委托方确认。</w:t>
      </w:r>
    </w:p>
    <w:p w14:paraId="1C6E7C58">
      <w:pPr>
        <w:spacing w:line="360" w:lineRule="auto"/>
        <w:ind w:firstLine="480" w:firstLineChars="200"/>
        <w:rPr>
          <w:rFonts w:hint="eastAsia" w:ascii="宋体" w:hAnsi="宋体"/>
          <w:sz w:val="24"/>
        </w:rPr>
      </w:pPr>
      <w:r>
        <w:rPr>
          <w:rFonts w:ascii="宋体" w:hAnsi="宋体"/>
          <w:sz w:val="24"/>
        </w:rPr>
        <w:t>14</w:t>
      </w:r>
      <w:r>
        <w:rPr>
          <w:rFonts w:hint="eastAsia" w:ascii="宋体" w:hAnsi="宋体"/>
          <w:sz w:val="24"/>
        </w:rPr>
        <w:t>、实施监造的物资经现场监造工程师确认符合标准规范和订单约定后按发货批次开具监造放行单，由项目经理签发后报委托方。</w:t>
      </w:r>
    </w:p>
    <w:p w14:paraId="55A4F477">
      <w:pPr>
        <w:spacing w:line="360" w:lineRule="auto"/>
        <w:ind w:firstLine="480" w:firstLineChars="200"/>
        <w:rPr>
          <w:rFonts w:hint="eastAsia" w:ascii="宋体" w:hAnsi="宋体"/>
          <w:sz w:val="24"/>
        </w:rPr>
      </w:pPr>
      <w:r>
        <w:rPr>
          <w:rFonts w:ascii="宋体" w:hAnsi="宋体"/>
          <w:sz w:val="24"/>
        </w:rPr>
        <w:t>15</w:t>
      </w:r>
      <w:r>
        <w:rPr>
          <w:rFonts w:hint="eastAsia" w:ascii="宋体" w:hAnsi="宋体"/>
          <w:sz w:val="24"/>
        </w:rPr>
        <w:t>、全部监造工作完成后，应于3</w:t>
      </w:r>
      <w:r>
        <w:rPr>
          <w:rFonts w:ascii="宋体" w:hAnsi="宋体"/>
          <w:sz w:val="24"/>
        </w:rPr>
        <w:t>0</w:t>
      </w:r>
      <w:r>
        <w:rPr>
          <w:rFonts w:hint="eastAsia" w:ascii="宋体" w:hAnsi="宋体"/>
          <w:sz w:val="24"/>
        </w:rPr>
        <w:t>日内完成监造总结报告交付委托方。</w:t>
      </w:r>
    </w:p>
    <w:p w14:paraId="3443516C">
      <w:pPr>
        <w:spacing w:line="360" w:lineRule="auto"/>
        <w:ind w:firstLine="480" w:firstLineChars="200"/>
        <w:rPr>
          <w:rFonts w:hint="eastAsia" w:ascii="宋体" w:hAnsi="宋体"/>
          <w:sz w:val="24"/>
        </w:rPr>
      </w:pPr>
      <w:r>
        <w:rPr>
          <w:rFonts w:ascii="宋体" w:hAnsi="宋体"/>
          <w:sz w:val="24"/>
        </w:rPr>
        <w:t>16</w:t>
      </w:r>
      <w:r>
        <w:rPr>
          <w:rFonts w:hint="eastAsia" w:ascii="宋体" w:hAnsi="宋体"/>
          <w:sz w:val="24"/>
        </w:rPr>
        <w:t xml:space="preserve">、监造工程师应严格遵守制造单位HSE或安全生产管理制度的相关规定，严格执行劳保着装和安全防护要求，且做到保护用户、制造单位知识产权和商业秘密。  </w:t>
      </w:r>
    </w:p>
    <w:p w14:paraId="15976E0F">
      <w:pPr>
        <w:spacing w:line="360" w:lineRule="auto"/>
        <w:ind w:firstLine="480" w:firstLineChars="200"/>
        <w:rPr>
          <w:rFonts w:hint="eastAsia" w:ascii="宋体" w:hAnsi="宋体"/>
          <w:sz w:val="24"/>
        </w:rPr>
      </w:pPr>
      <w:r>
        <w:rPr>
          <w:rFonts w:ascii="宋体" w:hAnsi="宋体"/>
          <w:sz w:val="24"/>
        </w:rPr>
        <w:t>17</w:t>
      </w:r>
      <w:r>
        <w:rPr>
          <w:rFonts w:hint="eastAsia" w:ascii="宋体" w:hAnsi="宋体"/>
          <w:sz w:val="24"/>
        </w:rPr>
        <w:t>、监造工程师在环境和职业健康安全方面对制造单位施加影响。</w:t>
      </w:r>
    </w:p>
    <w:p w14:paraId="6D65F669">
      <w:pPr>
        <w:pStyle w:val="60"/>
        <w:numPr>
          <w:ilvl w:val="0"/>
          <w:numId w:val="1"/>
        </w:numPr>
        <w:spacing w:line="360" w:lineRule="auto"/>
        <w:ind w:firstLineChars="0"/>
        <w:outlineLvl w:val="0"/>
        <w:rPr>
          <w:rFonts w:hint="eastAsia" w:ascii="宋体" w:hAnsi="宋体"/>
          <w:b/>
          <w:sz w:val="24"/>
        </w:rPr>
      </w:pPr>
      <w:r>
        <w:rPr>
          <w:rFonts w:ascii="宋体" w:hAnsi="宋体"/>
          <w:b/>
          <w:sz w:val="24"/>
        </w:rPr>
        <w:t>监理工作开展的资金保障控制</w:t>
      </w:r>
    </w:p>
    <w:p w14:paraId="7BAB067D">
      <w:pPr>
        <w:spacing w:line="360" w:lineRule="auto"/>
        <w:ind w:firstLine="480" w:firstLineChars="200"/>
        <w:jc w:val="left"/>
        <w:rPr>
          <w:rFonts w:hint="eastAsia" w:ascii="宋体" w:hAnsi="宋体"/>
          <w:bCs/>
          <w:sz w:val="24"/>
        </w:rPr>
      </w:pPr>
      <w:r>
        <w:rPr>
          <w:rFonts w:hint="eastAsia" w:ascii="宋体" w:hAnsi="宋体"/>
          <w:bCs/>
          <w:sz w:val="24"/>
        </w:rPr>
        <w:t>本项目驻厂监造所需差旅、通讯、资料流转等资源按合同及公司内部制度落实，本大纲不展开财务审批、工资发放、报销流程等企业内部事项。</w:t>
      </w:r>
    </w:p>
    <w:p w14:paraId="5B03C7ED">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现场监造人员的安全管理措施</w:t>
      </w:r>
    </w:p>
    <w:p w14:paraId="3B19BA78">
      <w:pPr>
        <w:spacing w:line="360" w:lineRule="auto"/>
        <w:ind w:firstLine="480" w:firstLineChars="200"/>
        <w:rPr>
          <w:rFonts w:hint="eastAsia" w:ascii="宋体" w:hAnsi="宋体"/>
          <w:sz w:val="24"/>
        </w:rPr>
      </w:pPr>
      <w:r>
        <w:rPr>
          <w:rFonts w:hint="eastAsia" w:ascii="宋体" w:hAnsi="宋体"/>
          <w:sz w:val="24"/>
        </w:rPr>
        <w:t>现场安全管理限于驻厂监造活动：监造人员入厂前完成安全教育和劳保配置，进入制造现场遵守制造单位关于动火、吊装、高处作业、受限空间和试压隔离的审批要求；发现影响人身安全或设备质量的现场状态，应记录并通知制造单位整改。</w:t>
      </w:r>
    </w:p>
    <w:p w14:paraId="5091E25A">
      <w:pPr>
        <w:pStyle w:val="60"/>
        <w:numPr>
          <w:ilvl w:val="0"/>
          <w:numId w:val="1"/>
        </w:numPr>
        <w:spacing w:line="360" w:lineRule="auto"/>
        <w:ind w:firstLineChars="0"/>
        <w:outlineLvl w:val="0"/>
        <w:rPr>
          <w:rFonts w:hint="eastAsia" w:ascii="宋体" w:hAnsi="宋体"/>
          <w:b/>
          <w:sz w:val="24"/>
        </w:rPr>
      </w:pPr>
      <w:r>
        <w:rPr>
          <w:rFonts w:ascii="宋体" w:hAnsi="宋体"/>
          <w:b/>
          <w:sz w:val="24"/>
        </w:rPr>
        <w:t>监理工作目标和标准</w:t>
      </w:r>
    </w:p>
    <w:p w14:paraId="07A5878B">
      <w:pPr>
        <w:spacing w:line="360" w:lineRule="auto"/>
        <w:ind w:firstLine="480" w:firstLineChars="200"/>
        <w:rPr>
          <w:rFonts w:hint="eastAsia" w:ascii="宋体" w:hAnsi="宋体"/>
          <w:sz w:val="24"/>
        </w:rPr>
      </w:pPr>
      <w:r>
        <w:rPr>
          <w:rFonts w:ascii="宋体" w:hAnsi="宋体"/>
          <w:sz w:val="24"/>
        </w:rPr>
        <w:t>监理工作目标以设备制造质量、关键工序可见证、检验结果可追溯、出厂资料完整为核心，重点控制材料、焊接、热处理、无损检测、压力/泄漏试验、清洁封存和放行资料。</w:t>
      </w:r>
    </w:p>
    <w:p w14:paraId="6A06B7A4">
      <w:pPr>
        <w:pStyle w:val="60"/>
        <w:numPr>
          <w:ilvl w:val="0"/>
          <w:numId w:val="1"/>
        </w:numPr>
        <w:spacing w:line="360" w:lineRule="auto"/>
        <w:ind w:firstLineChars="0"/>
        <w:outlineLvl w:val="0"/>
        <w:rPr>
          <w:rFonts w:hint="eastAsia" w:ascii="宋体" w:hAnsi="宋体"/>
          <w:b/>
          <w:sz w:val="24"/>
        </w:rPr>
      </w:pPr>
      <w:r>
        <w:rPr>
          <w:rFonts w:ascii="宋体" w:hAnsi="宋体"/>
          <w:b/>
          <w:sz w:val="24"/>
        </w:rPr>
        <w:t>质量保证措施</w:t>
      </w:r>
    </w:p>
    <w:p w14:paraId="1EBFFED3">
      <w:pPr>
        <w:spacing w:line="360" w:lineRule="auto"/>
        <w:ind w:firstLine="480" w:firstLineChars="200"/>
        <w:rPr>
          <w:rFonts w:hint="eastAsia" w:ascii="宋体" w:hAnsi="宋体"/>
          <w:sz w:val="24"/>
        </w:rPr>
      </w:pPr>
      <w:r>
        <w:rPr>
          <w:rFonts w:hint="eastAsia" w:ascii="宋体" w:hAnsi="宋体"/>
          <w:sz w:val="24"/>
        </w:rPr>
        <w:t>质量保证措施围绕制造质量链展开：审查质量计划和工艺文件，核查材料与焊材追溯，见证不可逆关键工序，复核检验报告与返修闭环资料，确保检验结果能对应设备位号、部件、焊缝或管束编号。</w:t>
      </w:r>
    </w:p>
    <w:p w14:paraId="0D52C932">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处理质量异常的措施</w:t>
      </w:r>
    </w:p>
    <w:p w14:paraId="3BFD495F">
      <w:pPr>
        <w:spacing w:line="360" w:lineRule="auto"/>
        <w:ind w:firstLine="480" w:firstLineChars="200"/>
        <w:rPr>
          <w:rFonts w:hint="eastAsia" w:ascii="宋体" w:hAnsi="宋体"/>
          <w:sz w:val="24"/>
        </w:rPr>
      </w:pPr>
      <w:r>
        <w:rPr>
          <w:rFonts w:hint="eastAsia" w:ascii="宋体" w:hAnsi="宋体"/>
          <w:sz w:val="24"/>
        </w:rPr>
        <w:t>质量异常按隔离标识、影响范围确认、原因分析、返修/让步方案审批、复验确认和资料关闭处理；涉及材料代用、管板堆焊、管头焊接胀接、热处理、无损检测、压力/泄漏试验等关键项时，未经确认不得放行。</w:t>
      </w:r>
    </w:p>
    <w:p w14:paraId="0CB69528">
      <w:pPr>
        <w:pStyle w:val="60"/>
        <w:numPr>
          <w:ilvl w:val="0"/>
          <w:numId w:val="1"/>
        </w:numPr>
        <w:spacing w:line="360" w:lineRule="auto"/>
        <w:ind w:firstLineChars="0"/>
        <w:outlineLvl w:val="0"/>
        <w:rPr>
          <w:b/>
          <w:sz w:val="24"/>
        </w:rPr>
      </w:pPr>
      <w:r>
        <w:rPr>
          <w:rFonts w:hint="eastAsia"/>
          <w:b/>
          <w:sz w:val="24"/>
        </w:rPr>
        <w:t>监理工作要点</w:t>
      </w:r>
    </w:p>
    <w:p w14:paraId="5384DAE0">
      <w:pPr>
        <w:pStyle w:val="59"/>
        <w:spacing w:line="360" w:lineRule="auto"/>
        <w:ind w:firstLine="482"/>
        <w:outlineLvl w:val="1"/>
        <w:rPr>
          <w:b/>
          <w:sz w:val="24"/>
        </w:rPr>
      </w:pPr>
      <w:r>
        <w:rPr>
          <w:rFonts w:hint="eastAsia"/>
          <w:b/>
          <w:sz w:val="24"/>
        </w:rPr>
        <w:t>4.1 监造前准备：控制对象为卖方质保体系及人员资质；控制方法为文件审查与现场核查；判定依据为TSG 21及技术协议，要求许可证有效、PQR/WPS覆盖全面、焊工/NDE持证上岗；不符合处理为暂停开工并限期整改。</w:t>
      </w:r>
    </w:p>
    <w:p w14:paraId="5384DAE0">
      <w:pPr>
        <w:pStyle w:val="59"/>
        <w:spacing w:line="360" w:lineRule="auto"/>
        <w:ind w:firstLine="482"/>
        <w:outlineLvl w:val="1"/>
        <w:rPr>
          <w:b/>
          <w:sz w:val="24"/>
        </w:rPr>
      </w:pPr>
      <w:r>
        <w:rPr>
          <w:rFonts w:hint="eastAsia"/>
          <w:b/>
          <w:sz w:val="24"/>
        </w:rPr>
        <w:t>4.2 开工条件：控制对象为原材料采购计划及热处理/清洗方案；控制方法为方案审查与资源确认；判定依据为最终版施工图，要求工艺文件审批签字齐全、气压试验安全设施到位；不符合处理为不予放行至下道工序。</w:t>
      </w:r>
    </w:p>
    <w:p w14:paraId="5384DAE0">
      <w:pPr>
        <w:pStyle w:val="59"/>
        <w:spacing w:line="360" w:lineRule="auto"/>
        <w:ind w:firstLine="482"/>
        <w:outlineLvl w:val="1"/>
        <w:rPr>
          <w:b/>
          <w:sz w:val="24"/>
        </w:rPr>
      </w:pPr>
      <w:r>
        <w:rPr>
          <w:rFonts w:hint="eastAsia"/>
          <w:b/>
          <w:sz w:val="24"/>
        </w:rPr>
        <w:t>4.3 原材料复验：控制对象为钢板/管材/换热管；控制方法为材质书审查、炉批号移植核查、100%UT/ET/水压/气密试验见证；判定依据为GB/T 713/13296及技术协议，要求化学成分/力学性能达标、无损检测I级合格、水压≥4MPaG稳压≥10秒；不符合处理为退料或降级使用（需买方书面同意）。</w:t>
      </w:r>
    </w:p>
    <w:p w14:paraId="5384DAE0">
      <w:pPr>
        <w:pStyle w:val="59"/>
        <w:spacing w:line="360" w:lineRule="auto"/>
        <w:ind w:firstLine="482"/>
        <w:outlineLvl w:val="1"/>
        <w:rPr>
          <w:b/>
          <w:sz w:val="24"/>
        </w:rPr>
      </w:pPr>
      <w:r>
        <w:rPr>
          <w:rFonts w:hint="eastAsia"/>
          <w:b/>
          <w:sz w:val="24"/>
        </w:rPr>
        <w:t>4.4 管板/管孔加工：控制对象为管板数控钻铣及折流板；控制方法为尺寸测量与粗糙度检测；判定依据为技术协议6.3.8/6.3.9，要求管孔粗糙度≤Ra3.2μm、内径偏差＜0.05mm、垂直度＜0.20mm；不符合处理为返工重钻或报废。</w:t>
      </w:r>
    </w:p>
    <w:p w14:paraId="5384DAE0">
      <w:pPr>
        <w:pStyle w:val="59"/>
        <w:spacing w:line="360" w:lineRule="auto"/>
        <w:ind w:firstLine="482"/>
        <w:outlineLvl w:val="1"/>
        <w:rPr>
          <w:b/>
          <w:sz w:val="24"/>
        </w:rPr>
      </w:pPr>
      <w:r>
        <w:rPr>
          <w:rFonts w:hint="eastAsia"/>
          <w:b/>
          <w:sz w:val="24"/>
        </w:rPr>
        <w:t>4.5 管束/换热管：控制对象为换热管穿管前状态及穿管过程；控制方法为外观检查与长度测量；判定依据为技术协议6.3.11/6.3.12，要求两端抛光25mm呈金属光泽、露出管板3-3.5mm、无划伤；不符合处理为停止穿管并更换受损管。</w:t>
      </w:r>
    </w:p>
    <w:p w14:paraId="5384DAE0">
      <w:pPr>
        <w:pStyle w:val="59"/>
        <w:spacing w:line="360" w:lineRule="auto"/>
        <w:ind w:firstLine="482"/>
        <w:outlineLvl w:val="1"/>
        <w:rPr>
          <w:b/>
          <w:sz w:val="24"/>
        </w:rPr>
      </w:pPr>
      <w:r>
        <w:rPr>
          <w:rFonts w:hint="eastAsia"/>
          <w:b/>
          <w:sz w:val="24"/>
        </w:rPr>
        <w:t>4.6 管头焊接和胀接：控制对象为管板与换热管接头；控制方法为自动焊过程见证、气密试验、液压胀接检查；判定依据为技术协议6.3.14，要求自动焊两遍以上起始点错开180°、第一道自熔焊气密合格、胀管率符合工艺；不符合处理为补焊或重新胀接，返修次数≤2次。</w:t>
      </w:r>
    </w:p>
    <w:p w14:paraId="5384DAE0">
      <w:pPr>
        <w:pStyle w:val="59"/>
        <w:spacing w:line="360" w:lineRule="auto"/>
        <w:ind w:firstLine="482"/>
        <w:outlineLvl w:val="1"/>
        <w:rPr>
          <w:b/>
          <w:sz w:val="24"/>
        </w:rPr>
      </w:pPr>
      <w:r>
        <w:rPr>
          <w:rFonts w:hint="eastAsia"/>
          <w:b/>
          <w:sz w:val="24"/>
        </w:rPr>
        <w:t>4.7 焊接热处理：控制对象为筒体/封头对接焊缝；控制方法为热处理曲线审查与过程测温；判定依据为技术协议6.2.50及GB/T 30583，要求升温/保温/降温速率达标、曲线连续完整；不符合处理为重新热处理并评估影响。</w:t>
      </w:r>
    </w:p>
    <w:p w14:paraId="5384DAE0">
      <w:pPr>
        <w:pStyle w:val="59"/>
        <w:spacing w:line="360" w:lineRule="auto"/>
        <w:ind w:firstLine="482"/>
        <w:outlineLvl w:val="1"/>
        <w:rPr>
          <w:b/>
          <w:sz w:val="24"/>
        </w:rPr>
      </w:pPr>
      <w:r>
        <w:rPr>
          <w:rFonts w:hint="eastAsia"/>
          <w:b/>
          <w:sz w:val="24"/>
        </w:rPr>
        <w:t>4.8 无损检测：控制对象为A/B类焊缝及接管法兰对接焊缝；控制方法为100%RT检测及底片评片审查；判定依据为NB/T 47013.2，要求AB级、RT-II级合格、像质计灵敏度达标；不符合处理为打磨返修并复验，同一部位返修≤2次。</w:t>
      </w:r>
    </w:p>
    <w:p w14:paraId="5384DAE0">
      <w:pPr>
        <w:pStyle w:val="59"/>
        <w:spacing w:line="360" w:lineRule="auto"/>
        <w:ind w:firstLine="482"/>
        <w:outlineLvl w:val="1"/>
        <w:rPr>
          <w:b/>
          <w:sz w:val="24"/>
        </w:rPr>
      </w:pPr>
      <w:r>
        <w:rPr>
          <w:rFonts w:hint="eastAsia"/>
          <w:b/>
          <w:sz w:val="24"/>
        </w:rPr>
        <w:t>4.9 压力/泄漏/氦检漏：控制对象为壳程/管程腔体及管头焊缝；控制方法为气压强度试验、肥皂液检漏、0.3MPa氦气嗅吸探头检漏；判定依据为技术协议6.2.9/6.3.17/6.3.18，要求气体露点≤-30℃、保压无压降、氦检漏无泄漏指示；不符合处理为查找漏点补焊并重新试验。</w:t>
      </w:r>
    </w:p>
    <w:p w14:paraId="5384DAE0">
      <w:pPr>
        <w:pStyle w:val="59"/>
        <w:spacing w:line="360" w:lineRule="auto"/>
        <w:ind w:firstLine="482"/>
        <w:outlineLvl w:val="1"/>
        <w:rPr>
          <w:b/>
          <w:sz w:val="24"/>
        </w:rPr>
      </w:pPr>
      <w:r>
        <w:rPr>
          <w:rFonts w:hint="eastAsia"/>
          <w:b/>
          <w:sz w:val="24"/>
        </w:rPr>
        <w:t>4.10 试板控制：控制对象为产品焊接试板；控制方法为同条件焊接制备及力学性能试验；判定依据为NB/T 47016，要求拉伸/冲击/弯曲合格；不符合处理为试板报废并重新制备，产品焊缝暂停焊接。</w:t>
      </w:r>
    </w:p>
    <w:p w14:paraId="5384DAE0">
      <w:pPr>
        <w:pStyle w:val="59"/>
        <w:spacing w:line="360" w:lineRule="auto"/>
        <w:ind w:firstLine="482"/>
        <w:outlineLvl w:val="1"/>
        <w:rPr>
          <w:b/>
          <w:sz w:val="24"/>
        </w:rPr>
      </w:pPr>
      <w:r>
        <w:rPr>
          <w:rFonts w:hint="eastAsia"/>
          <w:b/>
          <w:sz w:val="24"/>
        </w:rPr>
        <w:t>4.11 酸洗钝化/清洁度：控制对象为不锈钢内表面及换热管外表面；控制方法为脱脂清洗、酸洗钝化、蓝点法检验；判定依据为技术协议6.2.49/6.2.51，要求钝化膜完整均匀、蓝点法检验无铁离子污染；不符合处理为重新清洗钝化直至合格。</w:t>
      </w:r>
    </w:p>
    <w:p w14:paraId="5384DAE0">
      <w:pPr>
        <w:pStyle w:val="59"/>
        <w:spacing w:line="360" w:lineRule="auto"/>
        <w:ind w:firstLine="482"/>
        <w:outlineLvl w:val="1"/>
        <w:rPr>
          <w:b/>
          <w:sz w:val="24"/>
        </w:rPr>
      </w:pPr>
      <w:r>
        <w:rPr>
          <w:rFonts w:hint="eastAsia"/>
          <w:b/>
          <w:sz w:val="24"/>
        </w:rPr>
        <w:t>4.12 干燥封存/资料放行：控制对象为设备内部干燥度、充氮保压及竣工资料；控制方法为露点检查、充氮压力核查、资料审查；判定依据为技术协议6.2.52/6.2.53/11.5，要求内部干燥洁净、充氮压力≥0.05MPaG、资料一正三副齐全；不符合处理为不予出厂并限期整改。</w:t>
      </w:r>
    </w:p>
    <w:p w14:paraId="5384DAE0">
      <w:pPr>
        <w:pStyle w:val="59"/>
        <w:spacing w:line="360" w:lineRule="auto"/>
        <w:ind w:firstLine="482"/>
        <w:outlineLvl w:val="1"/>
        <w:rPr>
          <w:b/>
          <w:sz w:val="24"/>
        </w:rPr>
      </w:pPr>
      <w:r>
        <w:rPr>
          <w:rFonts w:hint="eastAsia"/>
          <w:b/>
          <w:sz w:val="24"/>
        </w:rPr>
        <w:t>无损检测控制：A/B类承压焊缝应按技术协议进行100%RT检测，无法进行RT检测处应进行100%UT检测，RT技术等级不低于AB级、Ⅱ级合格，UT技术等级不低于B级、Ⅰ级合格；其余承压焊缝按NB/T 47013-2015进行100%PT检测，合格级别为Ⅰ级。监造人员应审查NDE方案、人员资格、检测比例、底片/报告和缺陷返修闭环记录。</w:t>
      </w:r>
    </w:p>
    <w:p w14:paraId="5384DAE0">
      <w:pPr>
        <w:pStyle w:val="59"/>
        <w:spacing w:line="360" w:lineRule="auto"/>
        <w:ind w:firstLine="482"/>
        <w:outlineLvl w:val="1"/>
        <w:rPr>
          <w:b/>
          <w:sz w:val="24"/>
        </w:rPr>
      </w:pPr>
      <w:r>
        <w:rPr>
          <w:rFonts w:hint="eastAsia"/>
          <w:b/>
          <w:sz w:val="24"/>
        </w:rPr>
        <w:t>压力、泄漏试验与干燥封存控制：空冷器制造完成后应按NB/T 47007-2018第9.3条进行水压试验，保压时间不少于1h；介质为高度毒性的空冷器应按规程进行气密试验；奥氏体不锈钢空冷器水压试验用水氯离子含量应小于25ppm。水压试验合格后应排净积水、压缩空气吹干、管口金属板封闭并进行氮气置换和充氮保护，充氮压力0.05MPaG，该过程按停检点现场见证并签字确认。</w:t>
      </w:r>
    </w:p>
    <w:bookmarkEnd w:id="49"/>
    <w:bookmarkEnd w:id="50"/>
    <w:p w14:paraId="3CD0CBB9">
      <w:pPr>
        <w:pStyle w:val="60"/>
        <w:numPr>
          <w:ilvl w:val="0"/>
          <w:numId w:val="1"/>
        </w:numPr>
        <w:spacing w:line="360" w:lineRule="auto"/>
        <w:ind w:firstLineChars="0"/>
        <w:outlineLvl w:val="0"/>
        <w:rPr>
          <w:rFonts w:hint="eastAsia" w:ascii="宋体" w:hAnsi="宋体"/>
          <w:b/>
          <w:sz w:val="24"/>
        </w:rPr>
      </w:pPr>
      <w:bookmarkStart w:id="69" w:name="_Toc454711456"/>
      <w:bookmarkStart w:id="70" w:name="_Toc176165899"/>
      <w:bookmarkStart w:id="71" w:name="_Toc24205877"/>
      <w:bookmarkStart w:id="72" w:name="_Toc176165778"/>
      <w:bookmarkStart w:id="73" w:name="_Toc102238062"/>
      <w:r>
        <w:rPr>
          <w:rFonts w:hint="eastAsia" w:ascii="宋体" w:hAnsi="宋体"/>
          <w:b/>
          <w:sz w:val="24"/>
        </w:rPr>
        <w:t>监理记录</w:t>
      </w:r>
      <w:bookmarkEnd w:id="69"/>
      <w:bookmarkEnd w:id="70"/>
      <w:bookmarkEnd w:id="71"/>
      <w:bookmarkEnd w:id="72"/>
      <w:bookmarkEnd w:id="73"/>
    </w:p>
    <w:p w14:paraId="3124490E">
      <w:pPr>
        <w:spacing w:line="360" w:lineRule="auto"/>
        <w:ind w:firstLine="480" w:firstLineChars="200"/>
        <w:rPr>
          <w:rFonts w:hint="eastAsia" w:ascii="宋体" w:hAnsi="宋体"/>
          <w:sz w:val="24"/>
        </w:rPr>
      </w:pPr>
      <w:r>
        <w:rPr>
          <w:rFonts w:hint="eastAsia" w:ascii="宋体" w:hAnsi="宋体"/>
          <w:sz w:val="24"/>
        </w:rPr>
        <w:t>1、所有的现场数据（W）和文件查阅数据（R）都必须详细记入（或另表附入）监造日志。</w:t>
      </w:r>
    </w:p>
    <w:p w14:paraId="5813778D">
      <w:pPr>
        <w:spacing w:line="360" w:lineRule="auto"/>
        <w:ind w:firstLine="480" w:firstLineChars="200"/>
        <w:rPr>
          <w:rFonts w:hint="eastAsia" w:ascii="宋体" w:hAnsi="宋体"/>
          <w:sz w:val="24"/>
        </w:rPr>
      </w:pPr>
      <w:r>
        <w:rPr>
          <w:rFonts w:ascii="宋体" w:hAnsi="宋体"/>
          <w:sz w:val="24"/>
        </w:rPr>
        <w:t>2</w:t>
      </w:r>
      <w:r>
        <w:rPr>
          <w:rFonts w:hint="eastAsia" w:ascii="宋体" w:hAnsi="宋体"/>
          <w:sz w:val="24"/>
        </w:rPr>
        <w:t>、所有违规事件及现场发生状况都必须详细记入监造日志，并记入旁证人员，状态/时间、焊缝状态/时间统计表。</w:t>
      </w:r>
    </w:p>
    <w:p w14:paraId="7DDE316A">
      <w:pPr>
        <w:spacing w:line="360" w:lineRule="auto"/>
        <w:ind w:firstLine="480" w:firstLineChars="200"/>
        <w:rPr>
          <w:rFonts w:hint="eastAsia" w:ascii="宋体" w:hAnsi="宋体"/>
          <w:sz w:val="24"/>
        </w:rPr>
      </w:pPr>
      <w:r>
        <w:rPr>
          <w:rFonts w:ascii="宋体" w:hAnsi="宋体"/>
          <w:sz w:val="24"/>
        </w:rPr>
        <w:t>3</w:t>
      </w:r>
      <w:r>
        <w:rPr>
          <w:rFonts w:hint="eastAsia" w:ascii="宋体" w:hAnsi="宋体"/>
          <w:sz w:val="24"/>
        </w:rPr>
        <w:t>、监造工程师认为有必要备忘的事件也要记入监造日志，并记入涉及人员。</w:t>
      </w:r>
    </w:p>
    <w:p w14:paraId="501A9D80">
      <w:pPr>
        <w:spacing w:line="360" w:lineRule="auto"/>
        <w:ind w:firstLine="480" w:firstLineChars="200"/>
        <w:rPr>
          <w:rFonts w:hint="eastAsia" w:ascii="宋体" w:hAnsi="宋体"/>
          <w:sz w:val="24"/>
        </w:rPr>
      </w:pPr>
      <w:r>
        <w:rPr>
          <w:rFonts w:hint="eastAsia" w:ascii="宋体" w:hAnsi="宋体"/>
          <w:sz w:val="24"/>
        </w:rPr>
        <w:t>4、所有的记录要在当天完成，现场原始记录归入监造资料收存备查。</w:t>
      </w:r>
    </w:p>
    <w:p w14:paraId="28192A38">
      <w:pPr>
        <w:spacing w:line="360" w:lineRule="auto"/>
        <w:ind w:firstLine="480" w:firstLineChars="200"/>
        <w:rPr>
          <w:rFonts w:hint="eastAsia" w:ascii="宋体" w:hAnsi="宋体"/>
          <w:sz w:val="24"/>
        </w:rPr>
      </w:pPr>
      <w:r>
        <w:rPr>
          <w:rFonts w:hint="eastAsia" w:ascii="宋体" w:hAnsi="宋体"/>
          <w:sz w:val="24"/>
        </w:rPr>
        <w:t>5、如发现操作严重不符合项，应及时向委托方汇报；必要时应发联络单给制造单位, 并记录在日志中。</w:t>
      </w:r>
    </w:p>
    <w:p w14:paraId="68755D57">
      <w:pPr>
        <w:spacing w:line="360" w:lineRule="auto"/>
        <w:ind w:firstLine="480" w:firstLineChars="200"/>
        <w:rPr>
          <w:rFonts w:hint="eastAsia" w:ascii="宋体" w:hAnsi="宋体"/>
          <w:sz w:val="24"/>
        </w:rPr>
      </w:pPr>
      <w:r>
        <w:rPr>
          <w:rFonts w:hint="eastAsia" w:ascii="宋体" w:hAnsi="宋体"/>
          <w:sz w:val="24"/>
        </w:rPr>
        <w:t>6、日常沟通及周报内容涵盖对潜在质量风险点或要素的识别，对制造单位的风险提示和预防措施建议，对制造单位响应和措施执行情况的跟踪记录。</w:t>
      </w:r>
    </w:p>
    <w:p w14:paraId="798AB8E1">
      <w:pPr>
        <w:spacing w:line="360" w:lineRule="auto"/>
        <w:ind w:firstLine="480" w:firstLineChars="200"/>
        <w:rPr>
          <w:rFonts w:hint="eastAsia" w:ascii="宋体" w:hAnsi="宋体"/>
          <w:sz w:val="24"/>
        </w:rPr>
      </w:pPr>
      <w:r>
        <w:rPr>
          <w:rFonts w:hint="eastAsia" w:ascii="宋体" w:hAnsi="宋体"/>
          <w:sz w:val="24"/>
        </w:rPr>
        <w:t>7、所有见证和检验需留有照片或视频记录。</w:t>
      </w:r>
    </w:p>
    <w:p w14:paraId="59E38D9E">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监理周报、周例会、监理放行单</w:t>
      </w:r>
    </w:p>
    <w:p w14:paraId="09BCC63C">
      <w:pPr>
        <w:spacing w:line="360" w:lineRule="auto"/>
        <w:ind w:firstLine="480" w:firstLineChars="200"/>
        <w:rPr>
          <w:rFonts w:hint="eastAsia" w:ascii="宋体" w:hAnsi="宋体"/>
          <w:sz w:val="24"/>
        </w:rPr>
      </w:pPr>
      <w:r>
        <w:rPr>
          <w:rFonts w:ascii="宋体" w:hAnsi="宋体"/>
          <w:sz w:val="24"/>
        </w:rPr>
        <w:t>周报、例会和放行单只记录制造节点、见证项目、发现问题、整改关闭状态和待业主确认事项，不展开公司内部会议制度。</w:t>
      </w:r>
    </w:p>
    <w:p w14:paraId="75291904">
      <w:pPr>
        <w:pStyle w:val="60"/>
        <w:numPr>
          <w:ilvl w:val="0"/>
          <w:numId w:val="1"/>
        </w:numPr>
        <w:spacing w:line="360" w:lineRule="auto"/>
        <w:ind w:firstLineChars="0"/>
        <w:outlineLvl w:val="0"/>
        <w:rPr>
          <w:rFonts w:hint="eastAsia" w:ascii="宋体" w:hAnsi="宋体"/>
          <w:b/>
          <w:sz w:val="24"/>
        </w:rPr>
      </w:pPr>
      <w:bookmarkStart w:id="81" w:name="_Toc102238064"/>
      <w:bookmarkStart w:id="82" w:name="_Toc176165901"/>
      <w:bookmarkStart w:id="83" w:name="_Toc176165780"/>
      <w:r>
        <w:rPr>
          <w:rFonts w:hint="eastAsia" w:ascii="宋体" w:hAnsi="宋体"/>
          <w:b/>
          <w:sz w:val="24"/>
        </w:rPr>
        <w:t>最终监理资料</w:t>
      </w:r>
      <w:bookmarkEnd w:id="79"/>
      <w:bookmarkEnd w:id="80"/>
      <w:bookmarkEnd w:id="81"/>
      <w:bookmarkEnd w:id="82"/>
      <w:bookmarkEnd w:id="83"/>
    </w:p>
    <w:p w14:paraId="44B1A1FE">
      <w:pPr>
        <w:spacing w:line="360" w:lineRule="auto"/>
        <w:ind w:firstLine="480" w:firstLineChars="200"/>
        <w:rPr>
          <w:rFonts w:hint="eastAsia" w:ascii="宋体" w:hAnsi="宋体"/>
          <w:sz w:val="24"/>
        </w:rPr>
      </w:pPr>
      <w:r>
        <w:rPr>
          <w:rFonts w:ascii="宋体" w:hAnsi="宋体"/>
          <w:sz w:val="24"/>
        </w:rPr>
        <w:t>设备监造完成后，</w:t>
      </w:r>
      <w:r>
        <w:rPr>
          <w:rFonts w:hint="eastAsia" w:ascii="宋体" w:hAnsi="宋体"/>
          <w:sz w:val="24"/>
        </w:rPr>
        <w:t>按照项目规定的时间，</w:t>
      </w:r>
      <w:r>
        <w:rPr>
          <w:rFonts w:ascii="宋体" w:hAnsi="宋体"/>
          <w:sz w:val="24"/>
        </w:rPr>
        <w:t>向</w:t>
      </w:r>
      <w:r>
        <w:rPr>
          <w:rFonts w:hint="eastAsia" w:ascii="宋体" w:hAnsi="宋体"/>
          <w:sz w:val="24"/>
        </w:rPr>
        <w:t>委托方</w:t>
      </w:r>
      <w:r>
        <w:rPr>
          <w:rFonts w:ascii="宋体" w:hAnsi="宋体"/>
          <w:sz w:val="24"/>
        </w:rPr>
        <w:t>提供监理总结和监理报告。监造报告</w:t>
      </w:r>
      <w:r>
        <w:rPr>
          <w:rFonts w:hint="eastAsia" w:ascii="宋体" w:hAnsi="宋体"/>
          <w:sz w:val="24"/>
        </w:rPr>
        <w:t>逐台编制，监造总结主要内容</w:t>
      </w:r>
      <w:r>
        <w:rPr>
          <w:rFonts w:ascii="宋体" w:hAnsi="宋体"/>
          <w:sz w:val="24"/>
        </w:rPr>
        <w:t>包括对制造</w:t>
      </w:r>
      <w:r>
        <w:rPr>
          <w:rFonts w:hint="eastAsia" w:ascii="宋体" w:hAnsi="宋体"/>
          <w:sz w:val="24"/>
        </w:rPr>
        <w:t>进度和</w:t>
      </w:r>
      <w:r>
        <w:rPr>
          <w:rFonts w:ascii="宋体" w:hAnsi="宋体"/>
          <w:sz w:val="24"/>
        </w:rPr>
        <w:t>质量的</w:t>
      </w:r>
      <w:r>
        <w:rPr>
          <w:rFonts w:hint="eastAsia" w:ascii="宋体" w:hAnsi="宋体"/>
          <w:sz w:val="24"/>
        </w:rPr>
        <w:t>总体</w:t>
      </w:r>
      <w:r>
        <w:rPr>
          <w:rFonts w:ascii="宋体" w:hAnsi="宋体"/>
          <w:sz w:val="24"/>
        </w:rPr>
        <w:t>评价，</w:t>
      </w:r>
      <w:r>
        <w:rPr>
          <w:rFonts w:hint="eastAsia" w:ascii="宋体" w:hAnsi="宋体"/>
          <w:sz w:val="24"/>
        </w:rPr>
        <w:t>监造过程中</w:t>
      </w:r>
      <w:r>
        <w:rPr>
          <w:rFonts w:ascii="宋体" w:hAnsi="宋体"/>
          <w:sz w:val="24"/>
        </w:rPr>
        <w:t>发现问题</w:t>
      </w:r>
      <w:r>
        <w:rPr>
          <w:rFonts w:hint="eastAsia" w:ascii="宋体" w:hAnsi="宋体"/>
          <w:sz w:val="24"/>
        </w:rPr>
        <w:t>和</w:t>
      </w:r>
      <w:r>
        <w:rPr>
          <w:rFonts w:ascii="宋体" w:hAnsi="宋体"/>
          <w:sz w:val="24"/>
        </w:rPr>
        <w:t>处理</w:t>
      </w:r>
      <w:r>
        <w:rPr>
          <w:rFonts w:hint="eastAsia" w:ascii="宋体" w:hAnsi="宋体"/>
          <w:sz w:val="24"/>
        </w:rPr>
        <w:t>关闭情况</w:t>
      </w:r>
      <w:r>
        <w:rPr>
          <w:rFonts w:ascii="宋体" w:hAnsi="宋体"/>
          <w:sz w:val="24"/>
        </w:rPr>
        <w:t>，</w:t>
      </w:r>
      <w:r>
        <w:rPr>
          <w:rFonts w:hint="eastAsia" w:ascii="宋体" w:hAnsi="宋体"/>
          <w:sz w:val="24"/>
        </w:rPr>
        <w:t>其他的合理化</w:t>
      </w:r>
      <w:r>
        <w:rPr>
          <w:rFonts w:ascii="宋体" w:hAnsi="宋体"/>
          <w:sz w:val="24"/>
        </w:rPr>
        <w:t>建议等。</w:t>
      </w:r>
    </w:p>
    <w:p w14:paraId="6DA06AB5">
      <w:pPr>
        <w:spacing w:line="360" w:lineRule="auto"/>
        <w:ind w:firstLine="480" w:firstLineChars="200"/>
        <w:rPr>
          <w:rFonts w:hint="eastAsia" w:ascii="宋体" w:hAnsi="宋体"/>
          <w:sz w:val="24"/>
        </w:rPr>
      </w:pPr>
      <w:r>
        <w:rPr>
          <w:rFonts w:hint="eastAsia" w:ascii="宋体" w:hAnsi="宋体"/>
          <w:sz w:val="24"/>
        </w:rPr>
        <w:t>设备监理的资料严格执行业主和项目的有关规定，确保资料真实、完整、专业、规范。</w:t>
      </w:r>
    </w:p>
    <w:p w14:paraId="3E2A8F00">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进度控制</w:t>
      </w:r>
    </w:p>
    <w:p w14:paraId="01BCC68D">
      <w:pPr>
        <w:spacing w:line="360" w:lineRule="auto"/>
        <w:ind w:firstLine="480" w:firstLineChars="200"/>
        <w:rPr>
          <w:rFonts w:hint="eastAsia" w:ascii="宋体" w:hAnsi="宋体"/>
          <w:sz w:val="24"/>
        </w:rPr>
      </w:pPr>
      <w:r>
        <w:rPr>
          <w:rFonts w:ascii="宋体" w:hAnsi="宋体"/>
          <w:sz w:val="24"/>
        </w:rPr>
        <w:t>进度控制关注材料到货、工艺评定、关键制造工序、检验试验、返修复验和出厂放行等影响交付的节点；进度偏差应结合质量风险判断，不以压缩检验和见证环节作为赶工手段。</w:t>
      </w:r>
    </w:p>
    <w:p w14:paraId="70981A9A">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合同管理、信息管理及组织协调</w:t>
      </w:r>
    </w:p>
    <w:p w14:paraId="16417178">
      <w:pPr>
        <w:spacing w:line="360" w:lineRule="auto"/>
        <w:ind w:firstLine="480" w:firstLineChars="200"/>
        <w:rPr>
          <w:rFonts w:hint="eastAsia" w:ascii="宋体" w:hAnsi="宋体"/>
          <w:sz w:val="24"/>
        </w:rPr>
      </w:pPr>
      <w:r>
        <w:rPr>
          <w:rFonts w:ascii="宋体" w:hAnsi="宋体"/>
          <w:sz w:val="24"/>
        </w:rPr>
        <w:t>合同和信息管理用于确认供货范围、技术协议版本、设计变更、检验通知、质量问题和放行条件；所有关键沟通应形成可追溯记录并与监造资料一致。</w:t>
      </w:r>
    </w:p>
    <w:p w14:paraId="3C962805">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环境、安全控制</w:t>
      </w:r>
    </w:p>
    <w:p w14:paraId="678A1092">
      <w:pPr>
        <w:spacing w:line="360" w:lineRule="auto"/>
        <w:ind w:firstLine="480" w:firstLineChars="200"/>
        <w:rPr>
          <w:rFonts w:hint="eastAsia" w:ascii="宋体" w:hAnsi="宋体"/>
          <w:sz w:val="24"/>
        </w:rPr>
      </w:pPr>
      <w:r>
        <w:rPr>
          <w:rFonts w:ascii="宋体" w:hAnsi="宋体"/>
          <w:sz w:val="24"/>
        </w:rPr>
        <w:t>环境、安全控制限于制造现场监造活动，重点关注试压隔离、吊装转运、动火作业、清洗吹扫、氮封充压和包装发运过程中的现场作业条件，不展开企业级 HSE 检查制度。</w:t>
      </w:r>
    </w:p>
    <w:p w14:paraId="74475560">
      <w:pPr>
        <w:pStyle w:val="60"/>
        <w:numPr>
          <w:ilvl w:val="0"/>
          <w:numId w:val="1"/>
        </w:numPr>
        <w:spacing w:line="360" w:lineRule="auto"/>
        <w:ind w:firstLineChars="0"/>
        <w:outlineLvl w:val="0"/>
        <w:rPr>
          <w:rFonts w:hint="eastAsia" w:ascii="宋体" w:hAnsi="宋体"/>
          <w:b/>
          <w:sz w:val="24"/>
        </w:rPr>
      </w:pPr>
      <w:r>
        <w:rPr>
          <w:rFonts w:hint="eastAsia" w:ascii="宋体" w:hAnsi="宋体"/>
          <w:b/>
          <w:sz w:val="24"/>
        </w:rPr>
        <w:t>售后服务措施</w:t>
      </w:r>
    </w:p>
    <w:p w14:paraId="6FA33EAE">
      <w:pPr>
        <w:pStyle w:val="59"/>
        <w:spacing w:line="360" w:lineRule="auto"/>
        <w:ind w:firstLine="480"/>
        <w:rPr>
          <w:rFonts w:hint="eastAsia" w:ascii="宋体" w:hAnsi="宋体"/>
          <w:sz w:val="24"/>
        </w:rPr>
      </w:pPr>
      <w:r>
        <w:rPr>
          <w:rFonts w:ascii="宋体" w:hAnsi="宋体"/>
          <w:sz w:val="24"/>
        </w:rPr>
        <w:t>售后服务不作为制造监造大纲重点；出厂前应完成质量问题关闭、资料完整性复核、铭牌包装检查和放行确认，为后续安装、运行和质量追溯提供依据。</w:t>
      </w:r>
    </w:p>
    <w:p w14:paraId="1835DA52">
      <w:pPr>
        <w:pStyle w:val="60"/>
        <w:numPr>
          <w:ilvl w:val="0"/>
          <w:numId w:val="1"/>
        </w:numPr>
        <w:spacing w:line="360" w:lineRule="auto"/>
        <w:ind w:firstLineChars="0"/>
        <w:outlineLvl w:val="0"/>
        <w:rPr>
          <w:rFonts w:hint="eastAsia" w:ascii="宋体" w:hAnsi="宋体"/>
          <w:b/>
          <w:sz w:val="24"/>
        </w:rPr>
      </w:pPr>
      <w:bookmarkStart w:id="104" w:name="_Toc176165906"/>
      <w:bookmarkStart w:id="105" w:name="_Toc102238069"/>
      <w:bookmarkStart w:id="106" w:name="_Toc176165785"/>
      <w:r>
        <w:rPr>
          <w:rFonts w:hint="eastAsia" w:ascii="宋体" w:hAnsi="宋体"/>
          <w:b/>
          <w:sz w:val="24"/>
        </w:rPr>
        <w:t>监理控制点类型</w:t>
      </w:r>
      <w:bookmarkEnd w:id="104"/>
      <w:bookmarkEnd w:id="105"/>
      <w:bookmarkEnd w:id="106"/>
    </w:p>
    <w:p w14:paraId="650529CB">
      <w:pPr>
        <w:spacing w:line="360" w:lineRule="auto"/>
        <w:ind w:firstLine="480" w:firstLineChars="200"/>
        <w:rPr>
          <w:rFonts w:hint="eastAsia" w:ascii="宋体" w:hAnsi="宋体"/>
          <w:sz w:val="24"/>
        </w:rPr>
      </w:pPr>
      <w:r>
        <w:rPr>
          <w:rFonts w:ascii="宋体" w:hAnsi="宋体"/>
          <w:sz w:val="24"/>
        </w:rPr>
        <w:t>按设备采购技术附件和设备制造工艺、工序和试验的特点，分</w:t>
      </w:r>
      <w:r>
        <w:rPr>
          <w:rFonts w:hint="eastAsia" w:ascii="宋体" w:hAnsi="宋体"/>
          <w:sz w:val="24"/>
        </w:rPr>
        <w:t>三</w:t>
      </w:r>
      <w:r>
        <w:rPr>
          <w:rFonts w:ascii="宋体" w:hAnsi="宋体"/>
          <w:sz w:val="24"/>
        </w:rPr>
        <w:t>种检验点进行分级质量控制，并在编制《设备监理大纲》中予以标识：停工待检点(H点)、现场见证点(W点)、文件见证点（R点）。</w:t>
      </w:r>
    </w:p>
    <w:p w14:paraId="12213ED2">
      <w:pPr>
        <w:pStyle w:val="60"/>
        <w:spacing w:line="360" w:lineRule="auto"/>
        <w:ind w:firstLine="480"/>
        <w:rPr>
          <w:rFonts w:hint="eastAsia" w:ascii="宋体" w:hAnsi="宋体"/>
          <w:sz w:val="24"/>
        </w:rPr>
      </w:pPr>
      <w:r>
        <w:rPr>
          <w:rFonts w:ascii="宋体" w:hAnsi="宋体"/>
          <w:sz w:val="24"/>
        </w:rPr>
        <w:t>---H点：必须有</w:t>
      </w:r>
      <w:r>
        <w:rPr>
          <w:rFonts w:hint="eastAsia" w:ascii="宋体" w:hAnsi="宋体"/>
          <w:sz w:val="24"/>
        </w:rPr>
        <w:t>监造工程师</w:t>
      </w:r>
      <w:r>
        <w:rPr>
          <w:rFonts w:ascii="宋体" w:hAnsi="宋体"/>
          <w:sz w:val="24"/>
        </w:rPr>
        <w:t>参加制造现场见证并签证后，才能转入下道工序。</w:t>
      </w:r>
    </w:p>
    <w:p w14:paraId="2073AB40">
      <w:pPr>
        <w:pStyle w:val="60"/>
        <w:spacing w:line="360" w:lineRule="auto"/>
        <w:ind w:firstLine="480"/>
        <w:rPr>
          <w:rFonts w:hint="eastAsia" w:ascii="宋体" w:hAnsi="宋体"/>
          <w:sz w:val="24"/>
        </w:rPr>
      </w:pPr>
      <w:r>
        <w:rPr>
          <w:rFonts w:ascii="宋体" w:hAnsi="宋体"/>
          <w:sz w:val="24"/>
        </w:rPr>
        <w:t>---W点：应有</w:t>
      </w:r>
      <w:r>
        <w:rPr>
          <w:rFonts w:hint="eastAsia" w:ascii="宋体" w:hAnsi="宋体"/>
          <w:sz w:val="24"/>
        </w:rPr>
        <w:t>监造工程师</w:t>
      </w:r>
      <w:r>
        <w:rPr>
          <w:rFonts w:ascii="宋体" w:hAnsi="宋体"/>
          <w:sz w:val="24"/>
        </w:rPr>
        <w:t>参加制造现场工序检验和试验。</w:t>
      </w:r>
    </w:p>
    <w:p w14:paraId="107D6921">
      <w:pPr>
        <w:pStyle w:val="60"/>
        <w:spacing w:line="360" w:lineRule="auto"/>
        <w:ind w:firstLine="480"/>
        <w:rPr>
          <w:rFonts w:hint="eastAsia" w:ascii="宋体" w:hAnsi="宋体"/>
          <w:sz w:val="24"/>
        </w:rPr>
      </w:pPr>
      <w:r>
        <w:rPr>
          <w:rFonts w:ascii="宋体" w:hAnsi="宋体"/>
          <w:sz w:val="24"/>
        </w:rPr>
        <w:t>---R点：由</w:t>
      </w:r>
      <w:r>
        <w:rPr>
          <w:rFonts w:hint="eastAsia" w:ascii="宋体" w:hAnsi="宋体"/>
          <w:sz w:val="24"/>
        </w:rPr>
        <w:t>监造工程师</w:t>
      </w:r>
      <w:r>
        <w:rPr>
          <w:rFonts w:ascii="宋体" w:hAnsi="宋体"/>
          <w:sz w:val="24"/>
        </w:rPr>
        <w:t>通过查阅原始资料和检验记录了解制造质量情况。</w:t>
      </w:r>
    </w:p>
    <w:p w14:paraId="3636D747">
      <w:pPr>
        <w:spacing w:before="60" w:line="360" w:lineRule="auto"/>
        <w:rPr>
          <w:sz w:val="24"/>
        </w:rPr>
      </w:pPr>
      <w:r>
        <w:rPr>
          <w:rFonts w:ascii="宋体" w:hAnsi="宋体"/>
          <w:sz w:val="24"/>
        </w:rPr>
        <w:t>依据监理技术服务合同，</w:t>
      </w:r>
      <w:r>
        <w:rPr>
          <w:rFonts w:hint="eastAsia" w:ascii="宋体" w:hAnsi="宋体"/>
          <w:sz w:val="24"/>
        </w:rPr>
        <w:t>监造工程师</w:t>
      </w:r>
      <w:r>
        <w:rPr>
          <w:rFonts w:ascii="宋体" w:hAnsi="宋体"/>
          <w:sz w:val="24"/>
        </w:rPr>
        <w:t>在驻厂监理工作开始后，</w:t>
      </w:r>
      <w:r>
        <w:rPr>
          <w:rFonts w:hint="eastAsia" w:ascii="宋体" w:hAnsi="宋体"/>
          <w:sz w:val="24"/>
        </w:rPr>
        <w:t>由委托方提供或由委托方协调制造单位借阅</w:t>
      </w:r>
      <w:r>
        <w:rPr>
          <w:rFonts w:ascii="宋体" w:hAnsi="宋体"/>
          <w:sz w:val="24"/>
        </w:rPr>
        <w:t>设备设计图纸和制造工艺文件编制完成《设备监理实施细则》。</w:t>
      </w:r>
    </w:p>
    <w:p w14:paraId="70ED92C9">
      <w:pPr>
        <w:pStyle w:val="60"/>
        <w:numPr>
          <w:ilvl w:val="0"/>
          <w:numId w:val="1"/>
        </w:numPr>
        <w:spacing w:line="360" w:lineRule="auto"/>
        <w:ind w:firstLineChars="0"/>
        <w:outlineLvl w:val="0"/>
        <w:rPr>
          <w:sz w:val="24"/>
        </w:rPr>
      </w:pPr>
      <w:r>
        <w:rPr>
          <w:rFonts w:hint="eastAsia" w:ascii="宋体" w:hAnsi="宋体"/>
          <w:b/>
          <w:sz w:val="24"/>
        </w:rPr>
        <w:t>监造检试验计划</w:t>
      </w:r>
    </w:p>
    <w:tbl>
      <w:tblPr>
        <w:tblStyle w:val="33"/>
        <w:tblW w:w="515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1"/>
        <w:gridCol w:w="1381"/>
        <w:gridCol w:w="3599"/>
        <w:gridCol w:w="1450"/>
        <w:gridCol w:w="1346"/>
        <w:gridCol w:w="1410"/>
      </w:tblGrid>
      <w:tr w14:paraId="7BBD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blHeader/>
        </w:trPr>
        <w:tc>
          <w:tcPr>
            <w:tcW w:w="345" w:type="pct"/>
            <w:tcBorders>
              <w:top w:val="single" w:color="auto" w:sz="4" w:space="0"/>
              <w:left w:val="single" w:color="auto" w:sz="4" w:space="0"/>
              <w:bottom w:val="single" w:color="auto" w:sz="4" w:space="0"/>
              <w:right w:val="single" w:color="auto" w:sz="4" w:space="0"/>
            </w:tcBorders>
            <w:vAlign w:val="center"/>
          </w:tcPr>
          <w:p w14:paraId="5B7ABA99">
            <w:pPr>
              <w:spacing w:line="360" w:lineRule="exact"/>
              <w:jc w:val="center"/>
              <w:rPr>
                <w:b/>
                <w:szCs w:val="21"/>
              </w:rPr>
            </w:pPr>
            <w:r>
              <w:rPr>
                <w:b/>
                <w:szCs w:val="21"/>
              </w:rPr>
              <w:t>序号</w:t>
            </w:r>
          </w:p>
        </w:tc>
        <w:tc>
          <w:tcPr>
            <w:tcW w:w="700" w:type="pct"/>
            <w:tcBorders>
              <w:top w:val="single" w:color="auto" w:sz="4" w:space="0"/>
              <w:left w:val="single" w:color="auto" w:sz="4" w:space="0"/>
              <w:bottom w:val="single" w:color="auto" w:sz="4" w:space="0"/>
              <w:right w:val="single" w:color="auto" w:sz="4" w:space="0"/>
            </w:tcBorders>
            <w:vAlign w:val="center"/>
          </w:tcPr>
          <w:p w14:paraId="0E5556F4">
            <w:pPr>
              <w:spacing w:line="360" w:lineRule="exact"/>
              <w:jc w:val="center"/>
              <w:rPr>
                <w:b/>
                <w:szCs w:val="21"/>
              </w:rPr>
            </w:pPr>
            <w:r>
              <w:rPr>
                <w:b/>
                <w:szCs w:val="21"/>
              </w:rPr>
              <w:t>零部件及工序名称</w:t>
            </w:r>
          </w:p>
        </w:tc>
        <w:tc>
          <w:tcPr>
            <w:tcW w:w="1824" w:type="pct"/>
            <w:tcBorders>
              <w:top w:val="single" w:color="auto" w:sz="4" w:space="0"/>
              <w:left w:val="single" w:color="auto" w:sz="4" w:space="0"/>
              <w:bottom w:val="single" w:color="auto" w:sz="4" w:space="0"/>
              <w:right w:val="single" w:color="auto" w:sz="4" w:space="0"/>
            </w:tcBorders>
            <w:vAlign w:val="center"/>
          </w:tcPr>
          <w:p w14:paraId="7AF57A2C">
            <w:pPr>
              <w:spacing w:line="360" w:lineRule="exact"/>
              <w:jc w:val="center"/>
              <w:rPr>
                <w:b/>
                <w:szCs w:val="21"/>
              </w:rPr>
            </w:pPr>
            <w:r>
              <w:rPr>
                <w:rFonts w:hint="eastAsia"/>
                <w:b/>
                <w:szCs w:val="21"/>
              </w:rPr>
              <w:t>检试验</w:t>
            </w:r>
            <w:r>
              <w:rPr>
                <w:b/>
                <w:szCs w:val="21"/>
              </w:rPr>
              <w:t>内容</w:t>
            </w:r>
          </w:p>
        </w:tc>
        <w:tc>
          <w:tcPr>
            <w:tcW w:w="735" w:type="pct"/>
            <w:tcBorders>
              <w:top w:val="single" w:color="auto" w:sz="4" w:space="0"/>
              <w:left w:val="single" w:color="auto" w:sz="4" w:space="0"/>
              <w:bottom w:val="single" w:color="auto" w:sz="4" w:space="0"/>
              <w:right w:val="single" w:color="auto" w:sz="4" w:space="0"/>
            </w:tcBorders>
            <w:vAlign w:val="center"/>
          </w:tcPr>
          <w:p w14:paraId="365CD848">
            <w:pPr>
              <w:spacing w:line="320" w:lineRule="exact"/>
              <w:jc w:val="center"/>
              <w:rPr>
                <w:b/>
                <w:szCs w:val="21"/>
              </w:rPr>
            </w:pPr>
            <w:r>
              <w:rPr>
                <w:b/>
                <w:szCs w:val="21"/>
              </w:rPr>
              <w:t>文件见证点</w:t>
            </w:r>
          </w:p>
          <w:p w14:paraId="22E20405">
            <w:pPr>
              <w:spacing w:line="320" w:lineRule="exact"/>
              <w:jc w:val="center"/>
              <w:rPr>
                <w:b/>
                <w:szCs w:val="21"/>
              </w:rPr>
            </w:pPr>
            <w:r>
              <w:rPr>
                <w:rFonts w:hint="eastAsia"/>
                <w:b/>
                <w:szCs w:val="21"/>
              </w:rPr>
              <w:t>/R</w:t>
            </w:r>
          </w:p>
        </w:tc>
        <w:tc>
          <w:tcPr>
            <w:tcW w:w="682" w:type="pct"/>
            <w:tcBorders>
              <w:top w:val="single" w:color="auto" w:sz="4" w:space="0"/>
              <w:left w:val="single" w:color="auto" w:sz="4" w:space="0"/>
              <w:bottom w:val="single" w:color="auto" w:sz="4" w:space="0"/>
              <w:right w:val="single" w:color="auto" w:sz="4" w:space="0"/>
            </w:tcBorders>
            <w:vAlign w:val="center"/>
          </w:tcPr>
          <w:p w14:paraId="53C100B1">
            <w:pPr>
              <w:spacing w:line="320" w:lineRule="exact"/>
              <w:jc w:val="center"/>
              <w:rPr>
                <w:b/>
                <w:szCs w:val="21"/>
              </w:rPr>
            </w:pPr>
            <w:r>
              <w:rPr>
                <w:b/>
                <w:szCs w:val="21"/>
              </w:rPr>
              <w:t>现场见证点</w:t>
            </w:r>
          </w:p>
          <w:p w14:paraId="2E446E14">
            <w:pPr>
              <w:spacing w:line="320" w:lineRule="exact"/>
              <w:jc w:val="center"/>
              <w:rPr>
                <w:b/>
                <w:szCs w:val="21"/>
              </w:rPr>
            </w:pPr>
            <w:r>
              <w:rPr>
                <w:rFonts w:hint="eastAsia"/>
                <w:b/>
                <w:szCs w:val="21"/>
              </w:rPr>
              <w:t>/W</w:t>
            </w:r>
          </w:p>
        </w:tc>
        <w:tc>
          <w:tcPr>
            <w:tcW w:w="714" w:type="pct"/>
            <w:tcBorders>
              <w:top w:val="single" w:color="auto" w:sz="4" w:space="0"/>
              <w:left w:val="single" w:color="auto" w:sz="4" w:space="0"/>
              <w:bottom w:val="single" w:color="auto" w:sz="4" w:space="0"/>
              <w:right w:val="single" w:color="auto" w:sz="4" w:space="0"/>
            </w:tcBorders>
            <w:vAlign w:val="center"/>
          </w:tcPr>
          <w:p w14:paraId="123FBEB3">
            <w:pPr>
              <w:spacing w:line="320" w:lineRule="exact"/>
              <w:jc w:val="center"/>
              <w:rPr>
                <w:b/>
                <w:szCs w:val="21"/>
              </w:rPr>
            </w:pPr>
            <w:r>
              <w:rPr>
                <w:b/>
                <w:szCs w:val="21"/>
              </w:rPr>
              <w:t>停止</w:t>
            </w:r>
            <w:r>
              <w:rPr>
                <w:rFonts w:hint="eastAsia"/>
                <w:b/>
                <w:szCs w:val="21"/>
              </w:rPr>
              <w:t>见证</w:t>
            </w:r>
            <w:r>
              <w:rPr>
                <w:b/>
                <w:szCs w:val="21"/>
              </w:rPr>
              <w:t>点</w:t>
            </w:r>
          </w:p>
          <w:p w14:paraId="32838CCE">
            <w:pPr>
              <w:spacing w:line="320" w:lineRule="exact"/>
              <w:jc w:val="center"/>
              <w:rPr>
                <w:b/>
                <w:szCs w:val="21"/>
              </w:rPr>
            </w:pPr>
            <w:r>
              <w:rPr>
                <w:rFonts w:hint="eastAsia"/>
                <w:b/>
                <w:szCs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制造准备</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审查卖方质量保证体系及特种设备制造/设计许可证</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审查焊接工艺评定(PQR)及焊接工艺规程(WPS)</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审查焊工资格证及施焊项目覆盖情况</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原材料检验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审查钢板/管材原厂质量证明书</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核查材料规格、炉批号及标记移植</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壳体钢板100%超声检测</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无损检测</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A/B类承压焊缝100%RT，无法RT处100%UT；其余承压焊缝100%PT。</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原材料检验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换热管100%超声探伤</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换热管100%涡流探伤</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10</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压力/泄漏试验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管束耐压、整机水压与必要气密试验；保压不少于1h，奥氏体不锈钢用水氯离子&lt;25ppm，试验后干燥并以0.05MPaG充氮保护。</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11</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原材料检验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不锈钢换热管100%水下气密试验</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焊材烘干记录及发放管理核查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13</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筒体制造</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筒体/封头切割及坡口加工检查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坡口及焊缝清根后100%PT/MT检测</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筒体卷制尺寸及圆度检查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A/B类焊缝组对及错边量检查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筒体A/B类焊缝埋弧自动焊过程巡检</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奥氏体不锈钢焊接层间温度控制</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焊缝外观及余高检查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20</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产品焊接试件</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产品焊接试板制备及焊接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21</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试板力学性能及弯曲试验</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22</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管板/管箱制造</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管板数控钻铣加工及倒角检查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23</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管孔内表面粗糙度及尺寸检查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折流板孔距及内表面检查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管箱/封头对接焊缝焊接检查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26</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装配与焊接</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换热管穿管前抛光及清洁检查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穿管过程防护及管端露出长度检查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管板与换热管管头自动焊过程见证</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29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管头第一道自熔焊气密性试验</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换热管贴胀工艺及液压胀接检查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31</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接管与筒体/封头对接焊缝焊接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补强板焊缝压缩空气肥皂液试验</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33</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无损检测</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A/B类焊缝100%射线检测</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接管与法兰对接焊缝100%RT检测</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35CrMoA/35CrMo螺柱100%磁粉检测</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不锈钢焊缝晶间腐蚀倾向性试验</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37</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热处理</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热处理工艺及曲线审查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焊后热处理过程见证</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39</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压力试验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气压试验介质露点及干燥度核查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壳程/管程气压强度试验</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41</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试验压力降至设计压力肥皂液检漏</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42</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泄漏试验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壳程氦检漏试验准备及浓度核查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43</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管板与换热管焊缝氦检漏见证</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壳程筒体焊缝氦检漏见证</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45</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清洗钝化</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壳体内部及换热管外表面脱脂清洗</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不锈钢表面酸洗钝化处理</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蓝点法检验氯离子残留</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设备内部干燥及露点检查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49</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防腐包装</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碳钢外表面喷砂除锈等级检查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底漆/中间漆涂装厚度检查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51</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充氮密封及压力核查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法兰盲板盖及临时防护安装检查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53</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最终检验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设备几何尺寸及管口方位复查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铭牌内容及二维码信息核查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设备外观及防腐层最终检查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56</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资料交付</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竣工图及设计计算书审查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57</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产品质量证明书及检验证书审查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材料复验报告及材质书汇总</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59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无损检测示意图及报告汇总</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焊接记录及焊工钢印清单</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61</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热处理曲线及报告审查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压力试验及氦检漏报告审查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63</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脱脂/酸洗/钝化/蓝点检验报告</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产品制造安全性能监督检验证书</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数字化交付资料及平台上传核查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66</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制造准备</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审查分包商名单及资质</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67</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原材料检验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不锈钢材料隔离及防污染措施检查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换热管钢坯来源及低倍组织核查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69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换热管入库逐根外观检查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换热管两端切除盲区及去毛刺检查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71</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筒体制造</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筒体纵环缝焊接顺序及变形控制</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72</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焊缝返修记录及复验审查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73</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管板/管箱制造</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管板密封面垂直度及法兰密封面检查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74</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装配与焊接</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管束装配前壳体内部洁净度确认</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75</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管头焊接前丙酮清理检查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管头焊缝外观及无损检测抽查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77</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无损检测</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RT底片质量及评片记录审查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78</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热处理</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热处理后机加工顺序核查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79</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压力试验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气压试验安全设施及警戒线设置</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试验介质温度及环境条件核查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81</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泄漏试验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氦气回收及环保措施检查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82</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清洗钝化</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钝化后冲洗水质及电导率检查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83</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防腐包装</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运输鞍座及支撑结构检查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84</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钢丝绳/钢带绑扎及防护隔垫检查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85</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最终检验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设备重心及吊耳位置核查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86</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随机备品备件清点</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87</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资料交付</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材料代用申请单审查（如有）</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88</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产品焊接试板力学性能报告审查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89</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压力容器外观及几何尺寸检验报告</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90</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接管和人孔尺寸检验记录审查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91</w:t>
            </w:r>
          </w:p>
        </w:tc>
        <w:tc>
          <w:tcPr>
            <w:tcW w:w="700" w:type="pct"/>
            <w:vMerge/>
            <w:tcBorders>
              <w:top w:val="single" w:color="auto" w:sz="4" w:space="0"/>
              <w:left w:val="single" w:color="auto" w:sz="4" w:space="0"/>
              <w:right w:val="single" w:color="auto" w:sz="4" w:space="0"/>
            </w:tcBorders>
            <w:vAlign w:val="center"/>
          </w:tcP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防锈涂漆处理方法及记录审查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92</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制造准备</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审查制造进度计划及资源配备</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93</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原材料检验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进口材料SQL符合性核查（如有）</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94</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筒体制造</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不锈钢卷板设备专用性检查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95</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装配与焊接</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管板与换热管焊接线能量控制</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96</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无损检测</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无损检测人员资格证审查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97</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压力试验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压力表校验证书审查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98</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清洗钝化</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钝化液浓度及温度监测</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W</w:t>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99</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防腐包装</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充氮保压周期及运输补氮方案审查</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R</w:t>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r>
      <w:tr w14:paraId="3915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5" w:type="pct"/>
            <w:vMerge w:val="restart"/>
            <w:tcBorders>
              <w:top w:val="single" w:color="auto" w:sz="4" w:space="0"/>
              <w:left w:val="single" w:color="auto" w:sz="4" w:space="0"/>
              <w:right w:val="single" w:color="auto" w:sz="4" w:space="0"/>
            </w:tcBorders>
            <w:vAlign w:val="center"/>
          </w:tcPr>
          <w:p>
            <w:r>
              <w:rPr>
                <w:rFonts w:ascii="宋体" w:hAnsi="宋体" w:eastAsia="宋体"/>
                <w:sz w:val="21"/>
              </w:rPr>
              <w:t>100</w:t>
            </w:r>
          </w:p>
        </w:tc>
        <w:tc>
          <w:tcPr>
            <w:tcW w:w="700" w:type="pct"/>
            <w:vMerge w:val="restart"/>
            <w:tcBorders>
              <w:top w:val="single" w:color="auto" w:sz="4" w:space="0"/>
              <w:left w:val="single" w:color="auto" w:sz="4" w:space="0"/>
              <w:right w:val="single" w:color="auto" w:sz="4" w:space="0"/>
            </w:tcBorders>
            <w:vAlign w:val="center"/>
          </w:tcPr>
          <w:p>
            <w:r>
              <w:rPr>
                <w:rFonts w:ascii="宋体" w:hAnsi="宋体" w:eastAsia="宋体"/>
                <w:sz w:val="21"/>
              </w:rPr>
              <w:t>最终检验</w:t>
            </w:r>
          </w:p>
        </w:tc>
        <w:tc>
          <w:tcPr>
            <w:tcW w:w="182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出厂前最终联合验收</w:t>
            </w:r>
          </w:p>
        </w:tc>
        <w:tc>
          <w:tcPr>
            <w:tcW w:w="735"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682"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r>
          </w:p>
        </w:tc>
        <w:tc>
          <w:tcPr>
            <w:tcW w:w="714" w:type="pct"/>
            <w:tcBorders>
              <w:top w:val="single" w:color="auto" w:sz="4" w:space="0"/>
              <w:left w:val="single" w:color="auto" w:sz="4" w:space="0"/>
              <w:bottom w:val="single" w:color="auto" w:sz="4" w:space="0"/>
              <w:right w:val="single" w:color="auto" w:sz="4" w:space="0"/>
            </w:tcBorders>
            <w:vAlign w:val="center"/>
          </w:tcPr>
          <w:p>
            <w:r>
              <w:rPr>
                <w:rFonts w:ascii="宋体" w:hAnsi="宋体" w:eastAsia="宋体"/>
                <w:sz w:val="21"/>
              </w:rPr>
              <w:t>H</w:t>
            </w:r>
          </w:p>
        </w:tc>
      </w:tr>
    </w:tbl>
    <w:p w14:paraId="12916F31">
      <w:pPr>
        <w:pStyle w:val="60"/>
        <w:spacing w:before="60" w:after="60" w:line="360" w:lineRule="auto"/>
        <w:ind w:firstLine="0" w:firstLineChars="0"/>
        <w:jc w:val="center"/>
        <w:rPr>
          <w:sz w:val="24"/>
        </w:rPr>
      </w:pPr>
      <w:r>
        <w:rPr>
          <w:rFonts w:hint="eastAsia" w:ascii="宋体" w:hAnsi="宋体"/>
          <w:b/>
          <w:sz w:val="24"/>
        </w:rPr>
        <w:t>结束</w:t>
      </w:r>
    </w:p>
    <w:sectPr>
      <w:headerReference r:id="rId4" w:type="first"/>
      <w:footerReference r:id="rId7" w:type="first"/>
      <w:headerReference r:id="rId3" w:type="default"/>
      <w:footerReference r:id="rId5" w:type="default"/>
      <w:footerReference r:id="rId6" w:type="even"/>
      <w:pgSz w:w="11906" w:h="16838"/>
      <w:pgMar w:top="1134" w:right="1134" w:bottom="1134" w:left="1134" w:header="567" w:footer="992" w:gutter="284"/>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EA5FB">
    <w:pPr>
      <w:pStyle w:val="23"/>
      <w:ind w:right="360"/>
    </w:pPr>
    <w:r>
      <w:rPr>
        <w:rFonts w:hint="eastAsia"/>
      </w:rPr>
      <w:t xml:space="preserve">                                                 </w:t>
    </w:r>
    <w:r>
      <w:rPr>
        <w:rFonts w:hint="eastAsia"/>
        <w:lang w:val="zh-CN"/>
      </w:rPr>
      <w:t>第</w:t>
    </w:r>
    <w:r>
      <w:rPr>
        <w:lang w:val="zh-CN"/>
      </w:rPr>
      <w:t xml:space="preserve"> </w:t>
    </w:r>
    <w:r>
      <w:fldChar w:fldCharType="begin"/>
    </w:r>
    <w:r>
      <w:instrText xml:space="preserve">PAGE  \* Arabic  \* MERGEFORMAT</w:instrText>
    </w:r>
    <w:r>
      <w:fldChar w:fldCharType="separate"/>
    </w:r>
    <w:r>
      <w:rPr>
        <w:lang w:val="zh-CN"/>
      </w:rPr>
      <w:t>23</w:t>
    </w:r>
    <w:r>
      <w:rPr>
        <w:lang w:val="zh-CN"/>
      </w:rPr>
      <w:fldChar w:fldCharType="end"/>
    </w:r>
    <w:r>
      <w:rPr>
        <w:rFonts w:hint="eastAsia"/>
        <w:lang w:val="zh-CN"/>
      </w:rPr>
      <w:t xml:space="preserve"> 页 共</w:t>
    </w:r>
    <w:r>
      <w:rPr>
        <w:lang w:val="zh-CN"/>
      </w:rPr>
      <w:t xml:space="preserve"> </w:t>
    </w:r>
    <w:r>
      <w:fldChar w:fldCharType="begin"/>
    </w:r>
    <w:r>
      <w:instrText xml:space="preserve">NUMPAGES  \* Arabic  \* MERGEFORMAT</w:instrText>
    </w:r>
    <w:r>
      <w:fldChar w:fldCharType="separate"/>
    </w:r>
    <w:r>
      <w:rPr>
        <w:lang w:val="zh-CN"/>
      </w:rPr>
      <w:t>24</w:t>
    </w:r>
    <w:r>
      <w:rPr>
        <w:lang w:val="zh-CN"/>
      </w:rPr>
      <w:fldChar w:fldCharType="end"/>
    </w:r>
    <w:r>
      <w:rPr>
        <w:rFonts w:hint="eastAsia"/>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A41C1">
    <w:pPr>
      <w:pStyle w:val="23"/>
      <w:framePr w:wrap="around" w:vAnchor="text" w:hAnchor="margin" w:xAlign="right" w:y="1"/>
      <w:rPr>
        <w:rStyle w:val="37"/>
      </w:rPr>
    </w:pPr>
    <w:r>
      <w:fldChar w:fldCharType="begin"/>
    </w:r>
    <w:r>
      <w:rPr>
        <w:rStyle w:val="37"/>
      </w:rPr>
      <w:instrText xml:space="preserve">PAGE  </w:instrText>
    </w:r>
    <w:r>
      <w:fldChar w:fldCharType="end"/>
    </w:r>
  </w:p>
  <w:p w14:paraId="36895850">
    <w:pPr>
      <w:pStyle w:val="23"/>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7D483">
    <w:pPr>
      <w:pStyle w:val="23"/>
      <w:jc w:val="center"/>
    </w:pPr>
    <w:r>
      <w:rPr>
        <w:rFonts w:hint="eastAsia"/>
        <w:lang w:val="zh-CN"/>
      </w:rPr>
      <w:t>第</w:t>
    </w:r>
    <w:r>
      <w:rPr>
        <w:lang w:val="zh-CN"/>
      </w:rPr>
      <w:t xml:space="preserve"> </w:t>
    </w:r>
    <w:r>
      <w:fldChar w:fldCharType="begin"/>
    </w:r>
    <w:r>
      <w:instrText xml:space="preserve">PAGE  \* Arabic  \* MERGEFORMAT</w:instrText>
    </w:r>
    <w:r>
      <w:fldChar w:fldCharType="separate"/>
    </w:r>
    <w:r>
      <w:rPr>
        <w:lang w:val="zh-CN"/>
      </w:rPr>
      <w:t>1</w:t>
    </w:r>
    <w:r>
      <w:rPr>
        <w:lang w:val="zh-CN"/>
      </w:rPr>
      <w:fldChar w:fldCharType="end"/>
    </w:r>
    <w:r>
      <w:rPr>
        <w:rFonts w:hint="eastAsia"/>
        <w:lang w:val="zh-CN"/>
      </w:rPr>
      <w:t xml:space="preserve"> 页 共</w:t>
    </w:r>
    <w:r>
      <w:rPr>
        <w:lang w:val="zh-CN"/>
      </w:rPr>
      <w:t xml:space="preserve"> </w:t>
    </w:r>
    <w:r>
      <w:fldChar w:fldCharType="begin"/>
    </w:r>
    <w:r>
      <w:instrText xml:space="preserve">NUMPAGES  \* Arabic  \* MERGEFORMAT</w:instrText>
    </w:r>
    <w:r>
      <w:fldChar w:fldCharType="separate"/>
    </w:r>
    <w:r>
      <w:rPr>
        <w:lang w:val="zh-CN"/>
      </w:rPr>
      <w:t>1</w:t>
    </w:r>
    <w:r>
      <w:rPr>
        <w:lang w:val="zh-CN"/>
      </w:rPr>
      <w:fldChar w:fldCharType="end"/>
    </w:r>
    <w:r>
      <w:rPr>
        <w:rFonts w:hint="eastAsia"/>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68BE4">
    <w:pPr>
      <w:pStyle w:val="24"/>
      <w:pBdr>
        <w:bottom w:val="none" w:color="auto" w:sz="0" w:space="0"/>
      </w:pBdr>
      <w:jc w:val="left"/>
    </w:pPr>
    <w:r>
      <w:drawing>
        <wp:inline distT="0" distB="0" distL="0" distR="0">
          <wp:extent cx="3374390" cy="777240"/>
          <wp:effectExtent l="0" t="0" r="0" b="3810"/>
          <wp:docPr id="10526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97"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374967" cy="77724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6CD81">
    <w:pPr>
      <w:pStyle w:val="24"/>
      <w:pBdr>
        <w:bottom w:val="none" w:color="auto" w:sz="0" w:space="0"/>
      </w:pBdr>
      <w:jc w:val="left"/>
    </w:pPr>
    <w:r>
      <w:drawing>
        <wp:inline distT="0" distB="0" distL="0" distR="0">
          <wp:extent cx="3374390" cy="777240"/>
          <wp:effectExtent l="0" t="0" r="0" b="3810"/>
          <wp:docPr id="1095605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05445"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374967" cy="77724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1C6EC7"/>
    <w:multiLevelType w:val="multilevel"/>
    <w:tmpl w:val="071C6EC7"/>
    <w:lvl w:ilvl="0" w:tentative="0">
      <w:start w:val="1"/>
      <w:numFmt w:val="decimal"/>
      <w:lvlText w:val="（%1）"/>
      <w:lvlJc w:val="left"/>
      <w:pPr>
        <w:ind w:left="865" w:hanging="440"/>
      </w:pPr>
      <w:rPr>
        <w:rFonts w:hint="eastAsia"/>
      </w:rPr>
    </w:lvl>
    <w:lvl w:ilvl="1" w:tentative="0">
      <w:start w:val="1"/>
      <w:numFmt w:val="decimal"/>
      <w:lvlText w:val="（%2）"/>
      <w:lvlJc w:val="left"/>
      <w:pPr>
        <w:ind w:left="880" w:hanging="440"/>
      </w:pPr>
      <w:rPr>
        <w:rFonts w:hint="eastAsia"/>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A080793"/>
    <w:multiLevelType w:val="multilevel"/>
    <w:tmpl w:val="0A080793"/>
    <w:lvl w:ilvl="0" w:tentative="0">
      <w:start w:val="1"/>
      <w:numFmt w:val="bullet"/>
      <w:lvlText w:val=""/>
      <w:lvlJc w:val="left"/>
      <w:pPr>
        <w:ind w:left="1305" w:hanging="440"/>
      </w:pPr>
      <w:rPr>
        <w:rFonts w:hint="default" w:ascii="Wingdings" w:hAnsi="Wingdings"/>
      </w:rPr>
    </w:lvl>
    <w:lvl w:ilvl="1" w:tentative="0">
      <w:start w:val="1"/>
      <w:numFmt w:val="bullet"/>
      <w:lvlText w:val=""/>
      <w:lvlJc w:val="left"/>
      <w:pPr>
        <w:ind w:left="1745" w:hanging="440"/>
      </w:pPr>
      <w:rPr>
        <w:rFonts w:hint="default" w:ascii="Wingdings" w:hAnsi="Wingdings"/>
      </w:rPr>
    </w:lvl>
    <w:lvl w:ilvl="2" w:tentative="0">
      <w:start w:val="1"/>
      <w:numFmt w:val="bullet"/>
      <w:lvlText w:val=""/>
      <w:lvlJc w:val="left"/>
      <w:pPr>
        <w:ind w:left="2185" w:hanging="440"/>
      </w:pPr>
      <w:rPr>
        <w:rFonts w:hint="default" w:ascii="Wingdings" w:hAnsi="Wingdings"/>
      </w:rPr>
    </w:lvl>
    <w:lvl w:ilvl="3" w:tentative="0">
      <w:start w:val="1"/>
      <w:numFmt w:val="bullet"/>
      <w:lvlText w:val=""/>
      <w:lvlJc w:val="left"/>
      <w:pPr>
        <w:ind w:left="2625" w:hanging="440"/>
      </w:pPr>
      <w:rPr>
        <w:rFonts w:hint="default" w:ascii="Wingdings" w:hAnsi="Wingdings"/>
      </w:rPr>
    </w:lvl>
    <w:lvl w:ilvl="4" w:tentative="0">
      <w:start w:val="1"/>
      <w:numFmt w:val="bullet"/>
      <w:lvlText w:val=""/>
      <w:lvlJc w:val="left"/>
      <w:pPr>
        <w:ind w:left="3065" w:hanging="440"/>
      </w:pPr>
      <w:rPr>
        <w:rFonts w:hint="default" w:ascii="Wingdings" w:hAnsi="Wingdings"/>
      </w:rPr>
    </w:lvl>
    <w:lvl w:ilvl="5" w:tentative="0">
      <w:start w:val="1"/>
      <w:numFmt w:val="bullet"/>
      <w:lvlText w:val=""/>
      <w:lvlJc w:val="left"/>
      <w:pPr>
        <w:ind w:left="3505" w:hanging="440"/>
      </w:pPr>
      <w:rPr>
        <w:rFonts w:hint="default" w:ascii="Wingdings" w:hAnsi="Wingdings"/>
      </w:rPr>
    </w:lvl>
    <w:lvl w:ilvl="6" w:tentative="0">
      <w:start w:val="1"/>
      <w:numFmt w:val="bullet"/>
      <w:lvlText w:val=""/>
      <w:lvlJc w:val="left"/>
      <w:pPr>
        <w:ind w:left="3945" w:hanging="440"/>
      </w:pPr>
      <w:rPr>
        <w:rFonts w:hint="default" w:ascii="Wingdings" w:hAnsi="Wingdings"/>
      </w:rPr>
    </w:lvl>
    <w:lvl w:ilvl="7" w:tentative="0">
      <w:start w:val="1"/>
      <w:numFmt w:val="bullet"/>
      <w:lvlText w:val=""/>
      <w:lvlJc w:val="left"/>
      <w:pPr>
        <w:ind w:left="4385" w:hanging="440"/>
      </w:pPr>
      <w:rPr>
        <w:rFonts w:hint="default" w:ascii="Wingdings" w:hAnsi="Wingdings"/>
      </w:rPr>
    </w:lvl>
    <w:lvl w:ilvl="8" w:tentative="0">
      <w:start w:val="1"/>
      <w:numFmt w:val="bullet"/>
      <w:lvlText w:val=""/>
      <w:lvlJc w:val="left"/>
      <w:pPr>
        <w:ind w:left="4825" w:hanging="440"/>
      </w:pPr>
      <w:rPr>
        <w:rFonts w:hint="default" w:ascii="Wingdings" w:hAnsi="Wingdings"/>
      </w:rPr>
    </w:lvl>
  </w:abstractNum>
  <w:abstractNum w:abstractNumId="2">
    <w:nsid w:val="17A13D1B"/>
    <w:multiLevelType w:val="multilevel"/>
    <w:tmpl w:val="17A13D1B"/>
    <w:lvl w:ilvl="0" w:tentative="0">
      <w:start w:val="1"/>
      <w:numFmt w:val="bullet"/>
      <w:lvlText w:val=""/>
      <w:lvlJc w:val="left"/>
      <w:pPr>
        <w:ind w:left="1290" w:hanging="440"/>
      </w:pPr>
      <w:rPr>
        <w:rFonts w:hint="default" w:ascii="Wingdings" w:hAnsi="Wingdings"/>
      </w:rPr>
    </w:lvl>
    <w:lvl w:ilvl="1" w:tentative="0">
      <w:start w:val="1"/>
      <w:numFmt w:val="bullet"/>
      <w:lvlText w:val=""/>
      <w:lvlJc w:val="left"/>
      <w:pPr>
        <w:ind w:left="1730" w:hanging="440"/>
      </w:pPr>
      <w:rPr>
        <w:rFonts w:hint="default" w:ascii="Wingdings" w:hAnsi="Wingdings"/>
      </w:rPr>
    </w:lvl>
    <w:lvl w:ilvl="2" w:tentative="0">
      <w:start w:val="1"/>
      <w:numFmt w:val="bullet"/>
      <w:lvlText w:val=""/>
      <w:lvlJc w:val="left"/>
      <w:pPr>
        <w:ind w:left="2170" w:hanging="440"/>
      </w:pPr>
      <w:rPr>
        <w:rFonts w:hint="default" w:ascii="Wingdings" w:hAnsi="Wingdings"/>
      </w:rPr>
    </w:lvl>
    <w:lvl w:ilvl="3" w:tentative="0">
      <w:start w:val="1"/>
      <w:numFmt w:val="bullet"/>
      <w:lvlText w:val=""/>
      <w:lvlJc w:val="left"/>
      <w:pPr>
        <w:ind w:left="2610" w:hanging="440"/>
      </w:pPr>
      <w:rPr>
        <w:rFonts w:hint="default" w:ascii="Wingdings" w:hAnsi="Wingdings"/>
      </w:rPr>
    </w:lvl>
    <w:lvl w:ilvl="4" w:tentative="0">
      <w:start w:val="1"/>
      <w:numFmt w:val="bullet"/>
      <w:lvlText w:val=""/>
      <w:lvlJc w:val="left"/>
      <w:pPr>
        <w:ind w:left="3050" w:hanging="440"/>
      </w:pPr>
      <w:rPr>
        <w:rFonts w:hint="default" w:ascii="Wingdings" w:hAnsi="Wingdings"/>
      </w:rPr>
    </w:lvl>
    <w:lvl w:ilvl="5" w:tentative="0">
      <w:start w:val="1"/>
      <w:numFmt w:val="bullet"/>
      <w:lvlText w:val=""/>
      <w:lvlJc w:val="left"/>
      <w:pPr>
        <w:ind w:left="3490" w:hanging="440"/>
      </w:pPr>
      <w:rPr>
        <w:rFonts w:hint="default" w:ascii="Wingdings" w:hAnsi="Wingdings"/>
      </w:rPr>
    </w:lvl>
    <w:lvl w:ilvl="6" w:tentative="0">
      <w:start w:val="1"/>
      <w:numFmt w:val="bullet"/>
      <w:lvlText w:val=""/>
      <w:lvlJc w:val="left"/>
      <w:pPr>
        <w:ind w:left="3930" w:hanging="440"/>
      </w:pPr>
      <w:rPr>
        <w:rFonts w:hint="default" w:ascii="Wingdings" w:hAnsi="Wingdings"/>
      </w:rPr>
    </w:lvl>
    <w:lvl w:ilvl="7" w:tentative="0">
      <w:start w:val="1"/>
      <w:numFmt w:val="bullet"/>
      <w:lvlText w:val=""/>
      <w:lvlJc w:val="left"/>
      <w:pPr>
        <w:ind w:left="4370" w:hanging="440"/>
      </w:pPr>
      <w:rPr>
        <w:rFonts w:hint="default" w:ascii="Wingdings" w:hAnsi="Wingdings"/>
      </w:rPr>
    </w:lvl>
    <w:lvl w:ilvl="8" w:tentative="0">
      <w:start w:val="1"/>
      <w:numFmt w:val="bullet"/>
      <w:lvlText w:val=""/>
      <w:lvlJc w:val="left"/>
      <w:pPr>
        <w:ind w:left="4810" w:hanging="440"/>
      </w:pPr>
      <w:rPr>
        <w:rFonts w:hint="default" w:ascii="Wingdings" w:hAnsi="Wingdings"/>
      </w:rPr>
    </w:lvl>
  </w:abstractNum>
  <w:abstractNum w:abstractNumId="3">
    <w:nsid w:val="1B2757CE"/>
    <w:multiLevelType w:val="multilevel"/>
    <w:tmpl w:val="1B2757CE"/>
    <w:lvl w:ilvl="0" w:tentative="0">
      <w:start w:val="1"/>
      <w:numFmt w:val="bullet"/>
      <w:lvlText w:val=""/>
      <w:lvlJc w:val="left"/>
      <w:pPr>
        <w:ind w:left="1290" w:hanging="440"/>
      </w:pPr>
      <w:rPr>
        <w:rFonts w:hint="default" w:ascii="Wingdings" w:hAnsi="Wingdings"/>
      </w:rPr>
    </w:lvl>
    <w:lvl w:ilvl="1" w:tentative="0">
      <w:start w:val="1"/>
      <w:numFmt w:val="bullet"/>
      <w:lvlText w:val=""/>
      <w:lvlJc w:val="left"/>
      <w:pPr>
        <w:ind w:left="1730" w:hanging="440"/>
      </w:pPr>
      <w:rPr>
        <w:rFonts w:hint="default" w:ascii="Wingdings" w:hAnsi="Wingdings"/>
      </w:rPr>
    </w:lvl>
    <w:lvl w:ilvl="2" w:tentative="0">
      <w:start w:val="1"/>
      <w:numFmt w:val="bullet"/>
      <w:lvlText w:val=""/>
      <w:lvlJc w:val="left"/>
      <w:pPr>
        <w:ind w:left="2170" w:hanging="440"/>
      </w:pPr>
      <w:rPr>
        <w:rFonts w:hint="default" w:ascii="Wingdings" w:hAnsi="Wingdings"/>
      </w:rPr>
    </w:lvl>
    <w:lvl w:ilvl="3" w:tentative="0">
      <w:start w:val="1"/>
      <w:numFmt w:val="bullet"/>
      <w:lvlText w:val=""/>
      <w:lvlJc w:val="left"/>
      <w:pPr>
        <w:ind w:left="2610" w:hanging="440"/>
      </w:pPr>
      <w:rPr>
        <w:rFonts w:hint="default" w:ascii="Wingdings" w:hAnsi="Wingdings"/>
      </w:rPr>
    </w:lvl>
    <w:lvl w:ilvl="4" w:tentative="0">
      <w:start w:val="1"/>
      <w:numFmt w:val="bullet"/>
      <w:lvlText w:val=""/>
      <w:lvlJc w:val="left"/>
      <w:pPr>
        <w:ind w:left="3050" w:hanging="440"/>
      </w:pPr>
      <w:rPr>
        <w:rFonts w:hint="default" w:ascii="Wingdings" w:hAnsi="Wingdings"/>
      </w:rPr>
    </w:lvl>
    <w:lvl w:ilvl="5" w:tentative="0">
      <w:start w:val="1"/>
      <w:numFmt w:val="bullet"/>
      <w:lvlText w:val=""/>
      <w:lvlJc w:val="left"/>
      <w:pPr>
        <w:ind w:left="3490" w:hanging="440"/>
      </w:pPr>
      <w:rPr>
        <w:rFonts w:hint="default" w:ascii="Wingdings" w:hAnsi="Wingdings"/>
      </w:rPr>
    </w:lvl>
    <w:lvl w:ilvl="6" w:tentative="0">
      <w:start w:val="1"/>
      <w:numFmt w:val="bullet"/>
      <w:lvlText w:val=""/>
      <w:lvlJc w:val="left"/>
      <w:pPr>
        <w:ind w:left="3930" w:hanging="440"/>
      </w:pPr>
      <w:rPr>
        <w:rFonts w:hint="default" w:ascii="Wingdings" w:hAnsi="Wingdings"/>
      </w:rPr>
    </w:lvl>
    <w:lvl w:ilvl="7" w:tentative="0">
      <w:start w:val="1"/>
      <w:numFmt w:val="bullet"/>
      <w:lvlText w:val=""/>
      <w:lvlJc w:val="left"/>
      <w:pPr>
        <w:ind w:left="4370" w:hanging="440"/>
      </w:pPr>
      <w:rPr>
        <w:rFonts w:hint="default" w:ascii="Wingdings" w:hAnsi="Wingdings"/>
      </w:rPr>
    </w:lvl>
    <w:lvl w:ilvl="8" w:tentative="0">
      <w:start w:val="1"/>
      <w:numFmt w:val="bullet"/>
      <w:lvlText w:val=""/>
      <w:lvlJc w:val="left"/>
      <w:pPr>
        <w:ind w:left="4810" w:hanging="440"/>
      </w:pPr>
      <w:rPr>
        <w:rFonts w:hint="default" w:ascii="Wingdings" w:hAnsi="Wingdings"/>
      </w:rPr>
    </w:lvl>
  </w:abstractNum>
  <w:abstractNum w:abstractNumId="4">
    <w:nsid w:val="1D9A5AE4"/>
    <w:multiLevelType w:val="multilevel"/>
    <w:tmpl w:val="1D9A5AE4"/>
    <w:lvl w:ilvl="0" w:tentative="0">
      <w:start w:val="1"/>
      <w:numFmt w:val="decimal"/>
      <w:lvlText w:val="（%1）"/>
      <w:lvlJc w:val="left"/>
      <w:pPr>
        <w:ind w:left="865" w:hanging="440"/>
      </w:pPr>
      <w:rPr>
        <w:rFonts w:hint="eastAsia"/>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5">
    <w:nsid w:val="1EBE2438"/>
    <w:multiLevelType w:val="multilevel"/>
    <w:tmpl w:val="1EBE2438"/>
    <w:lvl w:ilvl="0" w:tentative="0">
      <w:start w:val="1"/>
      <w:numFmt w:val="chineseCountingThousand"/>
      <w:lvlText w:val="%1、"/>
      <w:lvlJc w:val="left"/>
      <w:pPr>
        <w:ind w:left="420" w:hanging="420"/>
      </w:pPr>
      <w:rPr>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306574D"/>
    <w:multiLevelType w:val="multilevel"/>
    <w:tmpl w:val="2306574D"/>
    <w:lvl w:ilvl="0" w:tentative="0">
      <w:start w:val="1"/>
      <w:numFmt w:val="lowerLetter"/>
      <w:lvlText w:val="%1)"/>
      <w:lvlJc w:val="left"/>
      <w:pPr>
        <w:ind w:left="1780" w:hanging="440"/>
      </w:pPr>
      <w:rPr>
        <w:rFonts w:hint="default" w:ascii="Times New Roman" w:hAnsi="Times New Roman" w:cs="Times New Roman"/>
      </w:rPr>
    </w:lvl>
    <w:lvl w:ilvl="1" w:tentative="0">
      <w:start w:val="1"/>
      <w:numFmt w:val="lowerLetter"/>
      <w:lvlText w:val="%2)"/>
      <w:lvlJc w:val="left"/>
      <w:pPr>
        <w:ind w:left="1300" w:hanging="440"/>
      </w:pPr>
      <w:rPr>
        <w:rFonts w:hint="default" w:ascii="Times New Roman" w:hAnsi="Times New Roman" w:cs="Times New Roman"/>
        <w:b w:val="0"/>
        <w:bCs/>
      </w:r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
    <w:nsid w:val="27C03CA4"/>
    <w:multiLevelType w:val="multilevel"/>
    <w:tmpl w:val="27C03CA4"/>
    <w:lvl w:ilvl="0" w:tentative="0">
      <w:start w:val="1"/>
      <w:numFmt w:val="decimal"/>
      <w:lvlText w:val="（%1）"/>
      <w:lvlJc w:val="left"/>
      <w:pPr>
        <w:ind w:left="865" w:hanging="440"/>
      </w:pPr>
      <w:rPr>
        <w:rFonts w:hint="eastAsia"/>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8">
    <w:nsid w:val="29EC0425"/>
    <w:multiLevelType w:val="multilevel"/>
    <w:tmpl w:val="29EC0425"/>
    <w:lvl w:ilvl="0" w:tentative="0">
      <w:start w:val="1"/>
      <w:numFmt w:val="decimal"/>
      <w:lvlText w:val="%1)"/>
      <w:lvlJc w:val="left"/>
      <w:pPr>
        <w:ind w:left="920" w:hanging="440"/>
      </w:pPr>
    </w:lvl>
    <w:lvl w:ilvl="1" w:tentative="0">
      <w:start w:val="1"/>
      <w:numFmt w:val="lowerLetter"/>
      <w:lvlText w:val="%2)"/>
      <w:lvlJc w:val="left"/>
      <w:pPr>
        <w:ind w:left="1360" w:hanging="440"/>
      </w:pPr>
      <w:rPr>
        <w:rFonts w:hint="default" w:ascii="Times New Roman" w:hAnsi="Times New Roman" w:cs="Times New Roman"/>
      </w:r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2A65201B"/>
    <w:multiLevelType w:val="multilevel"/>
    <w:tmpl w:val="2A65201B"/>
    <w:lvl w:ilvl="0" w:tentative="0">
      <w:start w:val="1"/>
      <w:numFmt w:val="decimal"/>
      <w:lvlText w:val="（%1）"/>
      <w:lvlJc w:val="left"/>
      <w:pPr>
        <w:ind w:left="865" w:hanging="440"/>
      </w:pPr>
      <w:rPr>
        <w:rFonts w:hint="eastAsia"/>
        <w:lang w:val="en-US"/>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10">
    <w:nsid w:val="32E65577"/>
    <w:multiLevelType w:val="multilevel"/>
    <w:tmpl w:val="32E6557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6A62C71"/>
    <w:multiLevelType w:val="multilevel"/>
    <w:tmpl w:val="36A62C71"/>
    <w:lvl w:ilvl="0" w:tentative="0">
      <w:start w:val="1"/>
      <w:numFmt w:val="lowerLetter"/>
      <w:lvlText w:val="%1)"/>
      <w:lvlJc w:val="left"/>
      <w:pPr>
        <w:ind w:left="420" w:hanging="420"/>
      </w:pPr>
      <w:rPr>
        <w:rFonts w:hint="default" w:ascii="Times New Roman" w:hAnsi="Times New Roman" w:cs="Times New Roman"/>
        <w:b w:val="0"/>
        <w:bC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B490D58"/>
    <w:multiLevelType w:val="multilevel"/>
    <w:tmpl w:val="3B490D58"/>
    <w:lvl w:ilvl="0" w:tentative="0">
      <w:start w:val="1"/>
      <w:numFmt w:val="decimal"/>
      <w:lvlText w:val="（%1）"/>
      <w:lvlJc w:val="left"/>
      <w:pPr>
        <w:ind w:left="865" w:hanging="440"/>
      </w:pPr>
      <w:rPr>
        <w:rFonts w:hint="eastAsia"/>
        <w:b w:val="0"/>
        <w:bCs/>
        <w:lang w:val="en-US"/>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13">
    <w:nsid w:val="3BBD7C17"/>
    <w:multiLevelType w:val="multilevel"/>
    <w:tmpl w:val="3BBD7C1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4AD637CF"/>
    <w:multiLevelType w:val="multilevel"/>
    <w:tmpl w:val="4AD637C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4B62277B"/>
    <w:multiLevelType w:val="multilevel"/>
    <w:tmpl w:val="4B62277B"/>
    <w:lvl w:ilvl="0" w:tentative="0">
      <w:start w:val="1"/>
      <w:numFmt w:val="decimal"/>
      <w:lvlText w:val="（%1）"/>
      <w:lvlJc w:val="left"/>
      <w:pPr>
        <w:ind w:left="865" w:hanging="440"/>
      </w:pPr>
      <w:rPr>
        <w:rFonts w:hint="eastAsia"/>
        <w:b w:val="0"/>
        <w:bCs/>
        <w:lang w:val="en-US"/>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16">
    <w:nsid w:val="4DA75444"/>
    <w:multiLevelType w:val="multilevel"/>
    <w:tmpl w:val="4DA75444"/>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554906C7"/>
    <w:multiLevelType w:val="multilevel"/>
    <w:tmpl w:val="554906C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5AC5F20"/>
    <w:multiLevelType w:val="multilevel"/>
    <w:tmpl w:val="55AC5F20"/>
    <w:lvl w:ilvl="0" w:tentative="0">
      <w:start w:val="1"/>
      <w:numFmt w:val="decimal"/>
      <w:lvlText w:val="（%1）"/>
      <w:lvlJc w:val="left"/>
      <w:pPr>
        <w:ind w:left="865" w:hanging="440"/>
      </w:pPr>
      <w:rPr>
        <w:rFonts w:hint="eastAsia"/>
        <w:b w:val="0"/>
        <w:bCs/>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19">
    <w:nsid w:val="59431FC1"/>
    <w:multiLevelType w:val="multilevel"/>
    <w:tmpl w:val="59431FC1"/>
    <w:lvl w:ilvl="0" w:tentative="0">
      <w:start w:val="1"/>
      <w:numFmt w:val="bullet"/>
      <w:lvlText w:val=""/>
      <w:lvlJc w:val="left"/>
      <w:pPr>
        <w:ind w:left="1290" w:hanging="440"/>
      </w:pPr>
      <w:rPr>
        <w:rFonts w:hint="default" w:ascii="Wingdings" w:hAnsi="Wingdings"/>
      </w:rPr>
    </w:lvl>
    <w:lvl w:ilvl="1" w:tentative="0">
      <w:start w:val="1"/>
      <w:numFmt w:val="bullet"/>
      <w:lvlText w:val=""/>
      <w:lvlJc w:val="left"/>
      <w:pPr>
        <w:ind w:left="1730" w:hanging="440"/>
      </w:pPr>
      <w:rPr>
        <w:rFonts w:hint="default" w:ascii="Wingdings" w:hAnsi="Wingdings"/>
      </w:rPr>
    </w:lvl>
    <w:lvl w:ilvl="2" w:tentative="0">
      <w:start w:val="1"/>
      <w:numFmt w:val="bullet"/>
      <w:lvlText w:val=""/>
      <w:lvlJc w:val="left"/>
      <w:pPr>
        <w:ind w:left="2170" w:hanging="440"/>
      </w:pPr>
      <w:rPr>
        <w:rFonts w:hint="default" w:ascii="Wingdings" w:hAnsi="Wingdings"/>
      </w:rPr>
    </w:lvl>
    <w:lvl w:ilvl="3" w:tentative="0">
      <w:start w:val="1"/>
      <w:numFmt w:val="bullet"/>
      <w:lvlText w:val=""/>
      <w:lvlJc w:val="left"/>
      <w:pPr>
        <w:ind w:left="2610" w:hanging="440"/>
      </w:pPr>
      <w:rPr>
        <w:rFonts w:hint="default" w:ascii="Wingdings" w:hAnsi="Wingdings"/>
      </w:rPr>
    </w:lvl>
    <w:lvl w:ilvl="4" w:tentative="0">
      <w:start w:val="1"/>
      <w:numFmt w:val="bullet"/>
      <w:lvlText w:val=""/>
      <w:lvlJc w:val="left"/>
      <w:pPr>
        <w:ind w:left="3050" w:hanging="440"/>
      </w:pPr>
      <w:rPr>
        <w:rFonts w:hint="default" w:ascii="Wingdings" w:hAnsi="Wingdings"/>
      </w:rPr>
    </w:lvl>
    <w:lvl w:ilvl="5" w:tentative="0">
      <w:start w:val="1"/>
      <w:numFmt w:val="bullet"/>
      <w:lvlText w:val=""/>
      <w:lvlJc w:val="left"/>
      <w:pPr>
        <w:ind w:left="3490" w:hanging="440"/>
      </w:pPr>
      <w:rPr>
        <w:rFonts w:hint="default" w:ascii="Wingdings" w:hAnsi="Wingdings"/>
      </w:rPr>
    </w:lvl>
    <w:lvl w:ilvl="6" w:tentative="0">
      <w:start w:val="1"/>
      <w:numFmt w:val="bullet"/>
      <w:lvlText w:val=""/>
      <w:lvlJc w:val="left"/>
      <w:pPr>
        <w:ind w:left="3930" w:hanging="440"/>
      </w:pPr>
      <w:rPr>
        <w:rFonts w:hint="default" w:ascii="Wingdings" w:hAnsi="Wingdings"/>
      </w:rPr>
    </w:lvl>
    <w:lvl w:ilvl="7" w:tentative="0">
      <w:start w:val="1"/>
      <w:numFmt w:val="bullet"/>
      <w:lvlText w:val=""/>
      <w:lvlJc w:val="left"/>
      <w:pPr>
        <w:ind w:left="4370" w:hanging="440"/>
      </w:pPr>
      <w:rPr>
        <w:rFonts w:hint="default" w:ascii="Wingdings" w:hAnsi="Wingdings"/>
      </w:rPr>
    </w:lvl>
    <w:lvl w:ilvl="8" w:tentative="0">
      <w:start w:val="1"/>
      <w:numFmt w:val="bullet"/>
      <w:lvlText w:val=""/>
      <w:lvlJc w:val="left"/>
      <w:pPr>
        <w:ind w:left="4810" w:hanging="440"/>
      </w:pPr>
      <w:rPr>
        <w:rFonts w:hint="default" w:ascii="Wingdings" w:hAnsi="Wingdings"/>
      </w:rPr>
    </w:lvl>
  </w:abstractNum>
  <w:abstractNum w:abstractNumId="20">
    <w:nsid w:val="63836437"/>
    <w:multiLevelType w:val="multilevel"/>
    <w:tmpl w:val="6383643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E947098"/>
    <w:multiLevelType w:val="multilevel"/>
    <w:tmpl w:val="6E947098"/>
    <w:lvl w:ilvl="0" w:tentative="0">
      <w:start w:val="1"/>
      <w:numFmt w:val="decimal"/>
      <w:lvlText w:val="（%1）"/>
      <w:lvlJc w:val="left"/>
      <w:pPr>
        <w:ind w:left="865" w:hanging="440"/>
      </w:pPr>
      <w:rPr>
        <w:rFonts w:hint="eastAsia"/>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22">
    <w:nsid w:val="71A9255A"/>
    <w:multiLevelType w:val="multilevel"/>
    <w:tmpl w:val="71A9255A"/>
    <w:lvl w:ilvl="0" w:tentative="0">
      <w:start w:val="1"/>
      <w:numFmt w:val="decimal"/>
      <w:lvlText w:val="（%1）"/>
      <w:lvlJc w:val="left"/>
      <w:pPr>
        <w:ind w:left="865" w:hanging="440"/>
      </w:pPr>
      <w:rPr>
        <w:rFonts w:hint="default" w:ascii="Times New Roman" w:hAnsi="Times New Roman" w:cs="Times New Roman"/>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23">
    <w:nsid w:val="735C5701"/>
    <w:multiLevelType w:val="multilevel"/>
    <w:tmpl w:val="735C5701"/>
    <w:lvl w:ilvl="0" w:tentative="0">
      <w:start w:val="1"/>
      <w:numFmt w:val="decimal"/>
      <w:lvlText w:val="（%1）"/>
      <w:lvlJc w:val="left"/>
      <w:pPr>
        <w:ind w:left="1140" w:hanging="720"/>
      </w:pPr>
      <w:rPr>
        <w:rFonts w:hint="default" w:ascii="Times New Roman" w:hAnsi="Times New Roman" w:cs="Times New Roman"/>
        <w:b w:val="0"/>
        <w:bCs/>
      </w:rPr>
    </w:lvl>
    <w:lvl w:ilvl="1" w:tentative="0">
      <w:start w:val="1"/>
      <w:numFmt w:val="upperLetter"/>
      <w:lvlText w:val="%2）"/>
      <w:lvlJc w:val="left"/>
      <w:pPr>
        <w:ind w:left="1280" w:hanging="420"/>
      </w:pPr>
      <w:rPr>
        <w:rFonts w:hint="default"/>
        <w:b/>
      </w:r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5"/>
  </w:num>
  <w:num w:numId="2">
    <w:abstractNumId w:val="11"/>
  </w:num>
  <w:num w:numId="3">
    <w:abstractNumId w:val="23"/>
  </w:num>
  <w:num w:numId="4">
    <w:abstractNumId w:val="0"/>
  </w:num>
  <w:num w:numId="5">
    <w:abstractNumId w:val="7"/>
  </w:num>
  <w:num w:numId="6">
    <w:abstractNumId w:val="1"/>
  </w:num>
  <w:num w:numId="7">
    <w:abstractNumId w:val="4"/>
  </w:num>
  <w:num w:numId="8">
    <w:abstractNumId w:val="9"/>
  </w:num>
  <w:num w:numId="9">
    <w:abstractNumId w:val="19"/>
  </w:num>
  <w:num w:numId="10">
    <w:abstractNumId w:val="3"/>
  </w:num>
  <w:num w:numId="11">
    <w:abstractNumId w:val="2"/>
  </w:num>
  <w:num w:numId="12">
    <w:abstractNumId w:val="6"/>
  </w:num>
  <w:num w:numId="13">
    <w:abstractNumId w:val="8"/>
  </w:num>
  <w:num w:numId="14">
    <w:abstractNumId w:val="22"/>
  </w:num>
  <w:num w:numId="15">
    <w:abstractNumId w:val="12"/>
  </w:num>
  <w:num w:numId="16">
    <w:abstractNumId w:val="15"/>
  </w:num>
  <w:num w:numId="17">
    <w:abstractNumId w:val="18"/>
  </w:num>
  <w:num w:numId="18">
    <w:abstractNumId w:val="21"/>
  </w:num>
  <w:num w:numId="19">
    <w:abstractNumId w:val="20"/>
  </w:num>
  <w:num w:numId="20">
    <w:abstractNumId w:val="17"/>
  </w:num>
  <w:num w:numId="21">
    <w:abstractNumId w:val="14"/>
  </w:num>
  <w:num w:numId="22">
    <w:abstractNumId w:val="13"/>
  </w:num>
  <w:num w:numId="23">
    <w:abstractNumId w:val="10"/>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1ZWU3MWZlODFjNjQ3NGRlMGM5OWY2YjkyZWY3YWIifQ=="/>
  </w:docVars>
  <w:rsids>
    <w:rsidRoot w:val="00A70DC5"/>
    <w:rsid w:val="00010C44"/>
    <w:rsid w:val="00011FFD"/>
    <w:rsid w:val="00020792"/>
    <w:rsid w:val="00021281"/>
    <w:rsid w:val="00024491"/>
    <w:rsid w:val="00025533"/>
    <w:rsid w:val="000265DB"/>
    <w:rsid w:val="00032CDC"/>
    <w:rsid w:val="0003338C"/>
    <w:rsid w:val="000351F6"/>
    <w:rsid w:val="00037416"/>
    <w:rsid w:val="00044BDA"/>
    <w:rsid w:val="000517BD"/>
    <w:rsid w:val="00052121"/>
    <w:rsid w:val="00053685"/>
    <w:rsid w:val="00054A0E"/>
    <w:rsid w:val="00055338"/>
    <w:rsid w:val="0005561C"/>
    <w:rsid w:val="0005742B"/>
    <w:rsid w:val="000612DC"/>
    <w:rsid w:val="00062B88"/>
    <w:rsid w:val="000636CD"/>
    <w:rsid w:val="000639DC"/>
    <w:rsid w:val="0006419A"/>
    <w:rsid w:val="00064275"/>
    <w:rsid w:val="00064B7A"/>
    <w:rsid w:val="00066E83"/>
    <w:rsid w:val="000679C7"/>
    <w:rsid w:val="00070BFE"/>
    <w:rsid w:val="00073EC0"/>
    <w:rsid w:val="000746E9"/>
    <w:rsid w:val="00082DC1"/>
    <w:rsid w:val="0008425E"/>
    <w:rsid w:val="00085B85"/>
    <w:rsid w:val="00090EBB"/>
    <w:rsid w:val="00092DD1"/>
    <w:rsid w:val="000938DB"/>
    <w:rsid w:val="00093BD9"/>
    <w:rsid w:val="000952C5"/>
    <w:rsid w:val="00096F0A"/>
    <w:rsid w:val="000A114E"/>
    <w:rsid w:val="000A1F4B"/>
    <w:rsid w:val="000A2A4C"/>
    <w:rsid w:val="000A74E4"/>
    <w:rsid w:val="000B0787"/>
    <w:rsid w:val="000B1B1F"/>
    <w:rsid w:val="000B38CD"/>
    <w:rsid w:val="000B39DD"/>
    <w:rsid w:val="000B4032"/>
    <w:rsid w:val="000B5521"/>
    <w:rsid w:val="000B7D85"/>
    <w:rsid w:val="000C41D9"/>
    <w:rsid w:val="000C59D1"/>
    <w:rsid w:val="000C5A71"/>
    <w:rsid w:val="000D4436"/>
    <w:rsid w:val="000D4CB7"/>
    <w:rsid w:val="000D5602"/>
    <w:rsid w:val="000E363E"/>
    <w:rsid w:val="001020F1"/>
    <w:rsid w:val="0011074F"/>
    <w:rsid w:val="00112D6B"/>
    <w:rsid w:val="00116690"/>
    <w:rsid w:val="0011694A"/>
    <w:rsid w:val="0011747F"/>
    <w:rsid w:val="00134B52"/>
    <w:rsid w:val="00143118"/>
    <w:rsid w:val="00143411"/>
    <w:rsid w:val="00150111"/>
    <w:rsid w:val="001502A7"/>
    <w:rsid w:val="00156B17"/>
    <w:rsid w:val="00160993"/>
    <w:rsid w:val="00160EB2"/>
    <w:rsid w:val="001643B8"/>
    <w:rsid w:val="00175591"/>
    <w:rsid w:val="00177C74"/>
    <w:rsid w:val="0018110F"/>
    <w:rsid w:val="001848F3"/>
    <w:rsid w:val="00185826"/>
    <w:rsid w:val="001878FE"/>
    <w:rsid w:val="0019081F"/>
    <w:rsid w:val="00190A35"/>
    <w:rsid w:val="00190ABE"/>
    <w:rsid w:val="00192BE3"/>
    <w:rsid w:val="00196273"/>
    <w:rsid w:val="00196591"/>
    <w:rsid w:val="001A06BA"/>
    <w:rsid w:val="001A2A18"/>
    <w:rsid w:val="001A3102"/>
    <w:rsid w:val="001A5939"/>
    <w:rsid w:val="001B0F6F"/>
    <w:rsid w:val="001B2F93"/>
    <w:rsid w:val="001B34F4"/>
    <w:rsid w:val="001B7E5A"/>
    <w:rsid w:val="001C1EEC"/>
    <w:rsid w:val="001C2010"/>
    <w:rsid w:val="001C305C"/>
    <w:rsid w:val="001C6936"/>
    <w:rsid w:val="001C6D31"/>
    <w:rsid w:val="001C7458"/>
    <w:rsid w:val="001D1B1C"/>
    <w:rsid w:val="001D1CA6"/>
    <w:rsid w:val="001D2898"/>
    <w:rsid w:val="001D55F3"/>
    <w:rsid w:val="001D5E31"/>
    <w:rsid w:val="001E02F7"/>
    <w:rsid w:val="001E0B87"/>
    <w:rsid w:val="001E0CFD"/>
    <w:rsid w:val="001E30AA"/>
    <w:rsid w:val="001E50AD"/>
    <w:rsid w:val="001E629C"/>
    <w:rsid w:val="001E7C12"/>
    <w:rsid w:val="001F1800"/>
    <w:rsid w:val="001F313B"/>
    <w:rsid w:val="001F388A"/>
    <w:rsid w:val="001F3ACA"/>
    <w:rsid w:val="001F71B6"/>
    <w:rsid w:val="0020066A"/>
    <w:rsid w:val="00211218"/>
    <w:rsid w:val="00211570"/>
    <w:rsid w:val="002122D5"/>
    <w:rsid w:val="00212D85"/>
    <w:rsid w:val="002131D1"/>
    <w:rsid w:val="00215EE9"/>
    <w:rsid w:val="002162BB"/>
    <w:rsid w:val="002200ED"/>
    <w:rsid w:val="002220B3"/>
    <w:rsid w:val="00222129"/>
    <w:rsid w:val="002233C4"/>
    <w:rsid w:val="002243F2"/>
    <w:rsid w:val="002255F1"/>
    <w:rsid w:val="002267CF"/>
    <w:rsid w:val="00231C54"/>
    <w:rsid w:val="0023677E"/>
    <w:rsid w:val="002368C6"/>
    <w:rsid w:val="002376F8"/>
    <w:rsid w:val="00237B6B"/>
    <w:rsid w:val="0024184F"/>
    <w:rsid w:val="00241FCC"/>
    <w:rsid w:val="00243D53"/>
    <w:rsid w:val="00250772"/>
    <w:rsid w:val="00250CDD"/>
    <w:rsid w:val="00250CF0"/>
    <w:rsid w:val="00251565"/>
    <w:rsid w:val="00261401"/>
    <w:rsid w:val="002634B7"/>
    <w:rsid w:val="002760CD"/>
    <w:rsid w:val="0028237D"/>
    <w:rsid w:val="00283181"/>
    <w:rsid w:val="00284689"/>
    <w:rsid w:val="00292380"/>
    <w:rsid w:val="00295C4C"/>
    <w:rsid w:val="00297132"/>
    <w:rsid w:val="002A044C"/>
    <w:rsid w:val="002A2CA1"/>
    <w:rsid w:val="002A3920"/>
    <w:rsid w:val="002A5115"/>
    <w:rsid w:val="002A7F3A"/>
    <w:rsid w:val="002B0C21"/>
    <w:rsid w:val="002B24E7"/>
    <w:rsid w:val="002B2D2B"/>
    <w:rsid w:val="002C2D52"/>
    <w:rsid w:val="002C5743"/>
    <w:rsid w:val="002C6864"/>
    <w:rsid w:val="002D0606"/>
    <w:rsid w:val="002D0F11"/>
    <w:rsid w:val="002D129D"/>
    <w:rsid w:val="002D2FCF"/>
    <w:rsid w:val="002D42B6"/>
    <w:rsid w:val="002D6D29"/>
    <w:rsid w:val="002E079C"/>
    <w:rsid w:val="002E7DA2"/>
    <w:rsid w:val="002E7F64"/>
    <w:rsid w:val="002F484F"/>
    <w:rsid w:val="002F4BEA"/>
    <w:rsid w:val="003016FB"/>
    <w:rsid w:val="0030347D"/>
    <w:rsid w:val="003038F7"/>
    <w:rsid w:val="00303A96"/>
    <w:rsid w:val="00304BF3"/>
    <w:rsid w:val="00310AC6"/>
    <w:rsid w:val="003152CD"/>
    <w:rsid w:val="00316033"/>
    <w:rsid w:val="0031655B"/>
    <w:rsid w:val="00321137"/>
    <w:rsid w:val="003216DD"/>
    <w:rsid w:val="00321730"/>
    <w:rsid w:val="00321B20"/>
    <w:rsid w:val="003249FB"/>
    <w:rsid w:val="003303A1"/>
    <w:rsid w:val="00333EBD"/>
    <w:rsid w:val="00335C7F"/>
    <w:rsid w:val="00335D6A"/>
    <w:rsid w:val="003427BD"/>
    <w:rsid w:val="00342834"/>
    <w:rsid w:val="00344677"/>
    <w:rsid w:val="0034469A"/>
    <w:rsid w:val="00344E08"/>
    <w:rsid w:val="00345758"/>
    <w:rsid w:val="003477AC"/>
    <w:rsid w:val="00350382"/>
    <w:rsid w:val="0035084F"/>
    <w:rsid w:val="00352093"/>
    <w:rsid w:val="0035216F"/>
    <w:rsid w:val="00352A64"/>
    <w:rsid w:val="00352BC7"/>
    <w:rsid w:val="00353AD9"/>
    <w:rsid w:val="00354C21"/>
    <w:rsid w:val="00354D73"/>
    <w:rsid w:val="0035595E"/>
    <w:rsid w:val="00357966"/>
    <w:rsid w:val="0036417D"/>
    <w:rsid w:val="003659C8"/>
    <w:rsid w:val="0037017B"/>
    <w:rsid w:val="0037026A"/>
    <w:rsid w:val="003719DE"/>
    <w:rsid w:val="0037290E"/>
    <w:rsid w:val="00373170"/>
    <w:rsid w:val="003772C5"/>
    <w:rsid w:val="00380EE9"/>
    <w:rsid w:val="00381F6F"/>
    <w:rsid w:val="003955FC"/>
    <w:rsid w:val="00396362"/>
    <w:rsid w:val="003A0BC6"/>
    <w:rsid w:val="003A7376"/>
    <w:rsid w:val="003B15FE"/>
    <w:rsid w:val="003B21E6"/>
    <w:rsid w:val="003B29D3"/>
    <w:rsid w:val="003B4C9D"/>
    <w:rsid w:val="003B530A"/>
    <w:rsid w:val="003B7B57"/>
    <w:rsid w:val="003C11BA"/>
    <w:rsid w:val="003C39CA"/>
    <w:rsid w:val="003C6581"/>
    <w:rsid w:val="003C6C01"/>
    <w:rsid w:val="003C7052"/>
    <w:rsid w:val="003C734E"/>
    <w:rsid w:val="003D0762"/>
    <w:rsid w:val="003D1993"/>
    <w:rsid w:val="003D2E13"/>
    <w:rsid w:val="003D4034"/>
    <w:rsid w:val="003D50FD"/>
    <w:rsid w:val="003E07B2"/>
    <w:rsid w:val="003E3859"/>
    <w:rsid w:val="003E7662"/>
    <w:rsid w:val="003E7BB0"/>
    <w:rsid w:val="003F1FC2"/>
    <w:rsid w:val="003F2FB7"/>
    <w:rsid w:val="003F492C"/>
    <w:rsid w:val="00401965"/>
    <w:rsid w:val="00402A0C"/>
    <w:rsid w:val="00402E79"/>
    <w:rsid w:val="00406905"/>
    <w:rsid w:val="00406C13"/>
    <w:rsid w:val="004104FF"/>
    <w:rsid w:val="00410963"/>
    <w:rsid w:val="00410B28"/>
    <w:rsid w:val="00411D7B"/>
    <w:rsid w:val="00414107"/>
    <w:rsid w:val="00421B21"/>
    <w:rsid w:val="00422021"/>
    <w:rsid w:val="004239A2"/>
    <w:rsid w:val="004275D5"/>
    <w:rsid w:val="00427A9E"/>
    <w:rsid w:val="004305D8"/>
    <w:rsid w:val="0043139A"/>
    <w:rsid w:val="00432A78"/>
    <w:rsid w:val="00433CA5"/>
    <w:rsid w:val="004341BD"/>
    <w:rsid w:val="004366AF"/>
    <w:rsid w:val="0043706E"/>
    <w:rsid w:val="00437D02"/>
    <w:rsid w:val="00443768"/>
    <w:rsid w:val="004524B5"/>
    <w:rsid w:val="004550D2"/>
    <w:rsid w:val="00455D66"/>
    <w:rsid w:val="00461292"/>
    <w:rsid w:val="00461E8E"/>
    <w:rsid w:val="00462368"/>
    <w:rsid w:val="00463ADF"/>
    <w:rsid w:val="00465E4C"/>
    <w:rsid w:val="004709DC"/>
    <w:rsid w:val="00475BA2"/>
    <w:rsid w:val="004806FC"/>
    <w:rsid w:val="00482AF0"/>
    <w:rsid w:val="004833C7"/>
    <w:rsid w:val="00485862"/>
    <w:rsid w:val="004864AF"/>
    <w:rsid w:val="00490BC9"/>
    <w:rsid w:val="00491F24"/>
    <w:rsid w:val="0049772B"/>
    <w:rsid w:val="004B0A83"/>
    <w:rsid w:val="004B2B62"/>
    <w:rsid w:val="004B390E"/>
    <w:rsid w:val="004B3B67"/>
    <w:rsid w:val="004C0178"/>
    <w:rsid w:val="004C39E6"/>
    <w:rsid w:val="004D2B3A"/>
    <w:rsid w:val="004D2D58"/>
    <w:rsid w:val="004D75F6"/>
    <w:rsid w:val="004E7B44"/>
    <w:rsid w:val="004F0522"/>
    <w:rsid w:val="004F2A98"/>
    <w:rsid w:val="004F48FD"/>
    <w:rsid w:val="004F6126"/>
    <w:rsid w:val="005001F4"/>
    <w:rsid w:val="00500A7F"/>
    <w:rsid w:val="00501A58"/>
    <w:rsid w:val="00502CDC"/>
    <w:rsid w:val="00506203"/>
    <w:rsid w:val="00510619"/>
    <w:rsid w:val="005172F6"/>
    <w:rsid w:val="00520C3C"/>
    <w:rsid w:val="005214A8"/>
    <w:rsid w:val="00533AFA"/>
    <w:rsid w:val="005358E4"/>
    <w:rsid w:val="005370B0"/>
    <w:rsid w:val="00537592"/>
    <w:rsid w:val="0054089E"/>
    <w:rsid w:val="00541D2A"/>
    <w:rsid w:val="0054228E"/>
    <w:rsid w:val="00543E44"/>
    <w:rsid w:val="00553B0F"/>
    <w:rsid w:val="00554184"/>
    <w:rsid w:val="005575F6"/>
    <w:rsid w:val="00561092"/>
    <w:rsid w:val="00562761"/>
    <w:rsid w:val="00570BCB"/>
    <w:rsid w:val="00571193"/>
    <w:rsid w:val="00572195"/>
    <w:rsid w:val="005738B0"/>
    <w:rsid w:val="00574203"/>
    <w:rsid w:val="005752F9"/>
    <w:rsid w:val="00575F42"/>
    <w:rsid w:val="005771D6"/>
    <w:rsid w:val="005821A0"/>
    <w:rsid w:val="00583970"/>
    <w:rsid w:val="00584A0B"/>
    <w:rsid w:val="00587456"/>
    <w:rsid w:val="005939AF"/>
    <w:rsid w:val="00596EB4"/>
    <w:rsid w:val="00597948"/>
    <w:rsid w:val="005A3F6E"/>
    <w:rsid w:val="005A5B6F"/>
    <w:rsid w:val="005A73FB"/>
    <w:rsid w:val="005B42DB"/>
    <w:rsid w:val="005C1112"/>
    <w:rsid w:val="005C7D73"/>
    <w:rsid w:val="005D1811"/>
    <w:rsid w:val="005D7D38"/>
    <w:rsid w:val="005D7E7D"/>
    <w:rsid w:val="005E1ED7"/>
    <w:rsid w:val="005E2C03"/>
    <w:rsid w:val="005E2CA7"/>
    <w:rsid w:val="005E4BEA"/>
    <w:rsid w:val="005F1BB0"/>
    <w:rsid w:val="005F1ED9"/>
    <w:rsid w:val="005F58DB"/>
    <w:rsid w:val="005F64DA"/>
    <w:rsid w:val="00604B51"/>
    <w:rsid w:val="006122B0"/>
    <w:rsid w:val="00612D15"/>
    <w:rsid w:val="00612F4C"/>
    <w:rsid w:val="0061662B"/>
    <w:rsid w:val="00617458"/>
    <w:rsid w:val="006217DB"/>
    <w:rsid w:val="00622876"/>
    <w:rsid w:val="00622979"/>
    <w:rsid w:val="006271CD"/>
    <w:rsid w:val="00630F04"/>
    <w:rsid w:val="0063303B"/>
    <w:rsid w:val="00641625"/>
    <w:rsid w:val="00641A29"/>
    <w:rsid w:val="006425AA"/>
    <w:rsid w:val="00642EDF"/>
    <w:rsid w:val="006441BB"/>
    <w:rsid w:val="0064455D"/>
    <w:rsid w:val="00645676"/>
    <w:rsid w:val="006514A6"/>
    <w:rsid w:val="00664862"/>
    <w:rsid w:val="00667C86"/>
    <w:rsid w:val="006704D2"/>
    <w:rsid w:val="00677949"/>
    <w:rsid w:val="00680242"/>
    <w:rsid w:val="0068198A"/>
    <w:rsid w:val="006831CC"/>
    <w:rsid w:val="00683894"/>
    <w:rsid w:val="00686F64"/>
    <w:rsid w:val="00687A24"/>
    <w:rsid w:val="00690C77"/>
    <w:rsid w:val="00691736"/>
    <w:rsid w:val="00691B11"/>
    <w:rsid w:val="00691DF3"/>
    <w:rsid w:val="006930E2"/>
    <w:rsid w:val="006A2476"/>
    <w:rsid w:val="006A4F09"/>
    <w:rsid w:val="006A5102"/>
    <w:rsid w:val="006A7C93"/>
    <w:rsid w:val="006B1037"/>
    <w:rsid w:val="006B1202"/>
    <w:rsid w:val="006B2E35"/>
    <w:rsid w:val="006B4EEB"/>
    <w:rsid w:val="006B5725"/>
    <w:rsid w:val="006C50B3"/>
    <w:rsid w:val="006C77B2"/>
    <w:rsid w:val="006D0902"/>
    <w:rsid w:val="006D25ED"/>
    <w:rsid w:val="006D35A4"/>
    <w:rsid w:val="006D3ECD"/>
    <w:rsid w:val="006D6AE5"/>
    <w:rsid w:val="006E1B1B"/>
    <w:rsid w:val="006E21D4"/>
    <w:rsid w:val="006E2B84"/>
    <w:rsid w:val="006F1157"/>
    <w:rsid w:val="0070379B"/>
    <w:rsid w:val="00717F98"/>
    <w:rsid w:val="00721FB3"/>
    <w:rsid w:val="00726D8F"/>
    <w:rsid w:val="00740E80"/>
    <w:rsid w:val="007466F8"/>
    <w:rsid w:val="007524BB"/>
    <w:rsid w:val="00752C0E"/>
    <w:rsid w:val="00753BDA"/>
    <w:rsid w:val="0076053B"/>
    <w:rsid w:val="00766BC3"/>
    <w:rsid w:val="00770A69"/>
    <w:rsid w:val="00772B62"/>
    <w:rsid w:val="007751CD"/>
    <w:rsid w:val="00777FC5"/>
    <w:rsid w:val="0078120F"/>
    <w:rsid w:val="00783A5E"/>
    <w:rsid w:val="00784C00"/>
    <w:rsid w:val="007907EC"/>
    <w:rsid w:val="007911B3"/>
    <w:rsid w:val="0079385E"/>
    <w:rsid w:val="00793E3A"/>
    <w:rsid w:val="00794304"/>
    <w:rsid w:val="00794E57"/>
    <w:rsid w:val="00795207"/>
    <w:rsid w:val="007973AF"/>
    <w:rsid w:val="0079787C"/>
    <w:rsid w:val="00797B14"/>
    <w:rsid w:val="007A24C2"/>
    <w:rsid w:val="007B446D"/>
    <w:rsid w:val="007B4CA0"/>
    <w:rsid w:val="007C2167"/>
    <w:rsid w:val="007D04A2"/>
    <w:rsid w:val="007E0742"/>
    <w:rsid w:val="007E10D1"/>
    <w:rsid w:val="007F0BED"/>
    <w:rsid w:val="007F32EB"/>
    <w:rsid w:val="007F3800"/>
    <w:rsid w:val="007F4A3A"/>
    <w:rsid w:val="007F5514"/>
    <w:rsid w:val="007F5F5B"/>
    <w:rsid w:val="007F6BBF"/>
    <w:rsid w:val="007F78C6"/>
    <w:rsid w:val="00804993"/>
    <w:rsid w:val="00806805"/>
    <w:rsid w:val="00807638"/>
    <w:rsid w:val="0081744D"/>
    <w:rsid w:val="00820586"/>
    <w:rsid w:val="0082202E"/>
    <w:rsid w:val="008227F2"/>
    <w:rsid w:val="0082380A"/>
    <w:rsid w:val="008272A2"/>
    <w:rsid w:val="00832A38"/>
    <w:rsid w:val="008351F0"/>
    <w:rsid w:val="00835A47"/>
    <w:rsid w:val="00836532"/>
    <w:rsid w:val="008415A3"/>
    <w:rsid w:val="008444D0"/>
    <w:rsid w:val="00854608"/>
    <w:rsid w:val="008555B9"/>
    <w:rsid w:val="00861B39"/>
    <w:rsid w:val="0086359F"/>
    <w:rsid w:val="00866ADD"/>
    <w:rsid w:val="00870CCB"/>
    <w:rsid w:val="008717D2"/>
    <w:rsid w:val="00874A43"/>
    <w:rsid w:val="00876B37"/>
    <w:rsid w:val="00877387"/>
    <w:rsid w:val="0088006A"/>
    <w:rsid w:val="00884F23"/>
    <w:rsid w:val="008902EE"/>
    <w:rsid w:val="0089084C"/>
    <w:rsid w:val="00892012"/>
    <w:rsid w:val="00894446"/>
    <w:rsid w:val="008B0891"/>
    <w:rsid w:val="008B192B"/>
    <w:rsid w:val="008B56A5"/>
    <w:rsid w:val="008B607A"/>
    <w:rsid w:val="008B77B8"/>
    <w:rsid w:val="008C2325"/>
    <w:rsid w:val="008C2CE0"/>
    <w:rsid w:val="008C3B51"/>
    <w:rsid w:val="008C4A92"/>
    <w:rsid w:val="008D332C"/>
    <w:rsid w:val="008D627C"/>
    <w:rsid w:val="008E0D32"/>
    <w:rsid w:val="008E2450"/>
    <w:rsid w:val="008E4770"/>
    <w:rsid w:val="008F0592"/>
    <w:rsid w:val="008F1BD6"/>
    <w:rsid w:val="008F2E12"/>
    <w:rsid w:val="008F60F9"/>
    <w:rsid w:val="008F66F8"/>
    <w:rsid w:val="008F7305"/>
    <w:rsid w:val="00902DE5"/>
    <w:rsid w:val="009071A6"/>
    <w:rsid w:val="00910C89"/>
    <w:rsid w:val="00911724"/>
    <w:rsid w:val="00913568"/>
    <w:rsid w:val="00914BCD"/>
    <w:rsid w:val="00916733"/>
    <w:rsid w:val="00924622"/>
    <w:rsid w:val="00924712"/>
    <w:rsid w:val="009306B7"/>
    <w:rsid w:val="0093083F"/>
    <w:rsid w:val="00933A51"/>
    <w:rsid w:val="009377B7"/>
    <w:rsid w:val="009379C0"/>
    <w:rsid w:val="0094120D"/>
    <w:rsid w:val="0094674C"/>
    <w:rsid w:val="00952C0E"/>
    <w:rsid w:val="0095692D"/>
    <w:rsid w:val="00956B23"/>
    <w:rsid w:val="009572D6"/>
    <w:rsid w:val="009619A5"/>
    <w:rsid w:val="00962ECA"/>
    <w:rsid w:val="0096442C"/>
    <w:rsid w:val="009661A0"/>
    <w:rsid w:val="0097420F"/>
    <w:rsid w:val="00976B9F"/>
    <w:rsid w:val="009828DE"/>
    <w:rsid w:val="0098297A"/>
    <w:rsid w:val="00983300"/>
    <w:rsid w:val="00983946"/>
    <w:rsid w:val="009843FB"/>
    <w:rsid w:val="009873BA"/>
    <w:rsid w:val="009930DD"/>
    <w:rsid w:val="009A13E0"/>
    <w:rsid w:val="009A29C0"/>
    <w:rsid w:val="009A3FD2"/>
    <w:rsid w:val="009A4B91"/>
    <w:rsid w:val="009B4A31"/>
    <w:rsid w:val="009B5C47"/>
    <w:rsid w:val="009C125B"/>
    <w:rsid w:val="009C2464"/>
    <w:rsid w:val="009C39A9"/>
    <w:rsid w:val="009C4E36"/>
    <w:rsid w:val="009C742D"/>
    <w:rsid w:val="009D1639"/>
    <w:rsid w:val="009D19F2"/>
    <w:rsid w:val="009D36FC"/>
    <w:rsid w:val="009D3EA3"/>
    <w:rsid w:val="009D447F"/>
    <w:rsid w:val="009E5417"/>
    <w:rsid w:val="009F0FED"/>
    <w:rsid w:val="009F356A"/>
    <w:rsid w:val="009F7C68"/>
    <w:rsid w:val="00A00FAF"/>
    <w:rsid w:val="00A0174F"/>
    <w:rsid w:val="00A129A1"/>
    <w:rsid w:val="00A13ACD"/>
    <w:rsid w:val="00A141A7"/>
    <w:rsid w:val="00A143A2"/>
    <w:rsid w:val="00A15767"/>
    <w:rsid w:val="00A16E51"/>
    <w:rsid w:val="00A25979"/>
    <w:rsid w:val="00A35BB2"/>
    <w:rsid w:val="00A4024B"/>
    <w:rsid w:val="00A50005"/>
    <w:rsid w:val="00A500AF"/>
    <w:rsid w:val="00A51A21"/>
    <w:rsid w:val="00A52BA1"/>
    <w:rsid w:val="00A54977"/>
    <w:rsid w:val="00A551C1"/>
    <w:rsid w:val="00A55A64"/>
    <w:rsid w:val="00A57210"/>
    <w:rsid w:val="00A60658"/>
    <w:rsid w:val="00A635B1"/>
    <w:rsid w:val="00A67724"/>
    <w:rsid w:val="00A70DC5"/>
    <w:rsid w:val="00A735A5"/>
    <w:rsid w:val="00A80837"/>
    <w:rsid w:val="00A81322"/>
    <w:rsid w:val="00A863D8"/>
    <w:rsid w:val="00A87E10"/>
    <w:rsid w:val="00A9757A"/>
    <w:rsid w:val="00AA192B"/>
    <w:rsid w:val="00AA1A28"/>
    <w:rsid w:val="00AA2207"/>
    <w:rsid w:val="00AB220C"/>
    <w:rsid w:val="00AC02B6"/>
    <w:rsid w:val="00AC089C"/>
    <w:rsid w:val="00AC511F"/>
    <w:rsid w:val="00AC5AED"/>
    <w:rsid w:val="00AC7CD3"/>
    <w:rsid w:val="00AD1AC3"/>
    <w:rsid w:val="00AD416F"/>
    <w:rsid w:val="00AD484F"/>
    <w:rsid w:val="00AD4B08"/>
    <w:rsid w:val="00AE03A9"/>
    <w:rsid w:val="00AE21AC"/>
    <w:rsid w:val="00AE2F9E"/>
    <w:rsid w:val="00AE3753"/>
    <w:rsid w:val="00AE44C5"/>
    <w:rsid w:val="00AE5575"/>
    <w:rsid w:val="00AE6B36"/>
    <w:rsid w:val="00AF3FF0"/>
    <w:rsid w:val="00B05CD2"/>
    <w:rsid w:val="00B06453"/>
    <w:rsid w:val="00B1370F"/>
    <w:rsid w:val="00B13DE0"/>
    <w:rsid w:val="00B140B2"/>
    <w:rsid w:val="00B15293"/>
    <w:rsid w:val="00B201A1"/>
    <w:rsid w:val="00B21672"/>
    <w:rsid w:val="00B23ACA"/>
    <w:rsid w:val="00B24EAF"/>
    <w:rsid w:val="00B27E67"/>
    <w:rsid w:val="00B33829"/>
    <w:rsid w:val="00B343E6"/>
    <w:rsid w:val="00B34E07"/>
    <w:rsid w:val="00B36C3B"/>
    <w:rsid w:val="00B378D9"/>
    <w:rsid w:val="00B4273E"/>
    <w:rsid w:val="00B47493"/>
    <w:rsid w:val="00B5018F"/>
    <w:rsid w:val="00B5060C"/>
    <w:rsid w:val="00B52784"/>
    <w:rsid w:val="00B5416F"/>
    <w:rsid w:val="00B612A4"/>
    <w:rsid w:val="00B63807"/>
    <w:rsid w:val="00B738D9"/>
    <w:rsid w:val="00B74C58"/>
    <w:rsid w:val="00B768A0"/>
    <w:rsid w:val="00B76977"/>
    <w:rsid w:val="00B82F39"/>
    <w:rsid w:val="00B8550B"/>
    <w:rsid w:val="00B9072E"/>
    <w:rsid w:val="00B928C2"/>
    <w:rsid w:val="00B93D5E"/>
    <w:rsid w:val="00B943FC"/>
    <w:rsid w:val="00BA34EA"/>
    <w:rsid w:val="00BA4806"/>
    <w:rsid w:val="00BB3E62"/>
    <w:rsid w:val="00BB748E"/>
    <w:rsid w:val="00BC12C8"/>
    <w:rsid w:val="00BC14E6"/>
    <w:rsid w:val="00BC27D3"/>
    <w:rsid w:val="00BC3130"/>
    <w:rsid w:val="00BD39D0"/>
    <w:rsid w:val="00BD58F7"/>
    <w:rsid w:val="00BE4A38"/>
    <w:rsid w:val="00BE4B62"/>
    <w:rsid w:val="00BE5AD7"/>
    <w:rsid w:val="00BE60EA"/>
    <w:rsid w:val="00BE6604"/>
    <w:rsid w:val="00BE771E"/>
    <w:rsid w:val="00BF1674"/>
    <w:rsid w:val="00BF222A"/>
    <w:rsid w:val="00C00B3D"/>
    <w:rsid w:val="00C05425"/>
    <w:rsid w:val="00C057B2"/>
    <w:rsid w:val="00C14899"/>
    <w:rsid w:val="00C22211"/>
    <w:rsid w:val="00C26BD9"/>
    <w:rsid w:val="00C30A2A"/>
    <w:rsid w:val="00C31301"/>
    <w:rsid w:val="00C32821"/>
    <w:rsid w:val="00C337D1"/>
    <w:rsid w:val="00C36FCE"/>
    <w:rsid w:val="00C37336"/>
    <w:rsid w:val="00C41886"/>
    <w:rsid w:val="00C42DFE"/>
    <w:rsid w:val="00C45039"/>
    <w:rsid w:val="00C50EFF"/>
    <w:rsid w:val="00C516ED"/>
    <w:rsid w:val="00C55D63"/>
    <w:rsid w:val="00C5602C"/>
    <w:rsid w:val="00C56477"/>
    <w:rsid w:val="00C5690D"/>
    <w:rsid w:val="00C62D06"/>
    <w:rsid w:val="00C64FA2"/>
    <w:rsid w:val="00C65159"/>
    <w:rsid w:val="00C66B06"/>
    <w:rsid w:val="00C733DA"/>
    <w:rsid w:val="00C73BE9"/>
    <w:rsid w:val="00C76A44"/>
    <w:rsid w:val="00C87280"/>
    <w:rsid w:val="00C92B1A"/>
    <w:rsid w:val="00CA1055"/>
    <w:rsid w:val="00CA303B"/>
    <w:rsid w:val="00CA4AA4"/>
    <w:rsid w:val="00CB0CFA"/>
    <w:rsid w:val="00CB2320"/>
    <w:rsid w:val="00CB4467"/>
    <w:rsid w:val="00CB6EF2"/>
    <w:rsid w:val="00CB78B9"/>
    <w:rsid w:val="00CB79DC"/>
    <w:rsid w:val="00CC79D3"/>
    <w:rsid w:val="00CC7E88"/>
    <w:rsid w:val="00CD1E79"/>
    <w:rsid w:val="00CD73F6"/>
    <w:rsid w:val="00CE56F7"/>
    <w:rsid w:val="00CE63ED"/>
    <w:rsid w:val="00CE7966"/>
    <w:rsid w:val="00CF42AA"/>
    <w:rsid w:val="00CF63E1"/>
    <w:rsid w:val="00CF693D"/>
    <w:rsid w:val="00D01551"/>
    <w:rsid w:val="00D11A0A"/>
    <w:rsid w:val="00D135E2"/>
    <w:rsid w:val="00D14588"/>
    <w:rsid w:val="00D1619D"/>
    <w:rsid w:val="00D17541"/>
    <w:rsid w:val="00D22AF5"/>
    <w:rsid w:val="00D23811"/>
    <w:rsid w:val="00D25094"/>
    <w:rsid w:val="00D25C81"/>
    <w:rsid w:val="00D317B5"/>
    <w:rsid w:val="00D438E1"/>
    <w:rsid w:val="00D457D1"/>
    <w:rsid w:val="00D47D9C"/>
    <w:rsid w:val="00D52552"/>
    <w:rsid w:val="00D53173"/>
    <w:rsid w:val="00D55A85"/>
    <w:rsid w:val="00D6332C"/>
    <w:rsid w:val="00D641D8"/>
    <w:rsid w:val="00D667A7"/>
    <w:rsid w:val="00D70E10"/>
    <w:rsid w:val="00D71317"/>
    <w:rsid w:val="00D72AA7"/>
    <w:rsid w:val="00D87C11"/>
    <w:rsid w:val="00D92C71"/>
    <w:rsid w:val="00D95F1E"/>
    <w:rsid w:val="00DA09BC"/>
    <w:rsid w:val="00DB02CE"/>
    <w:rsid w:val="00DB48AE"/>
    <w:rsid w:val="00DC0167"/>
    <w:rsid w:val="00DC06D3"/>
    <w:rsid w:val="00DC2B84"/>
    <w:rsid w:val="00DC2C11"/>
    <w:rsid w:val="00DC6DC0"/>
    <w:rsid w:val="00DC7D85"/>
    <w:rsid w:val="00DD434E"/>
    <w:rsid w:val="00DD5B98"/>
    <w:rsid w:val="00DE510B"/>
    <w:rsid w:val="00DE631F"/>
    <w:rsid w:val="00DF0DBD"/>
    <w:rsid w:val="00DF1416"/>
    <w:rsid w:val="00DF661C"/>
    <w:rsid w:val="00E0095B"/>
    <w:rsid w:val="00E053B3"/>
    <w:rsid w:val="00E055DE"/>
    <w:rsid w:val="00E06420"/>
    <w:rsid w:val="00E10A5E"/>
    <w:rsid w:val="00E1117E"/>
    <w:rsid w:val="00E129FA"/>
    <w:rsid w:val="00E169C2"/>
    <w:rsid w:val="00E16F17"/>
    <w:rsid w:val="00E228B4"/>
    <w:rsid w:val="00E23D4B"/>
    <w:rsid w:val="00E248A8"/>
    <w:rsid w:val="00E30DB6"/>
    <w:rsid w:val="00E31535"/>
    <w:rsid w:val="00E32B39"/>
    <w:rsid w:val="00E45046"/>
    <w:rsid w:val="00E47677"/>
    <w:rsid w:val="00E50CDF"/>
    <w:rsid w:val="00E52128"/>
    <w:rsid w:val="00E52243"/>
    <w:rsid w:val="00E53179"/>
    <w:rsid w:val="00E5498C"/>
    <w:rsid w:val="00E554C1"/>
    <w:rsid w:val="00E63EDA"/>
    <w:rsid w:val="00E6491A"/>
    <w:rsid w:val="00E76497"/>
    <w:rsid w:val="00E7680D"/>
    <w:rsid w:val="00E76E7A"/>
    <w:rsid w:val="00E77129"/>
    <w:rsid w:val="00E85349"/>
    <w:rsid w:val="00E858D0"/>
    <w:rsid w:val="00E85D78"/>
    <w:rsid w:val="00E86EE6"/>
    <w:rsid w:val="00E90067"/>
    <w:rsid w:val="00E93C05"/>
    <w:rsid w:val="00E943D5"/>
    <w:rsid w:val="00E9569B"/>
    <w:rsid w:val="00E95B47"/>
    <w:rsid w:val="00EA1FA7"/>
    <w:rsid w:val="00EA4211"/>
    <w:rsid w:val="00EB0794"/>
    <w:rsid w:val="00EB6304"/>
    <w:rsid w:val="00EB6C7C"/>
    <w:rsid w:val="00EC47F1"/>
    <w:rsid w:val="00EC4ABF"/>
    <w:rsid w:val="00EC6982"/>
    <w:rsid w:val="00EC782F"/>
    <w:rsid w:val="00ED266C"/>
    <w:rsid w:val="00ED289D"/>
    <w:rsid w:val="00ED53E9"/>
    <w:rsid w:val="00ED62F2"/>
    <w:rsid w:val="00ED7795"/>
    <w:rsid w:val="00EE0F16"/>
    <w:rsid w:val="00EE31D8"/>
    <w:rsid w:val="00EF0BC3"/>
    <w:rsid w:val="00EF4EFA"/>
    <w:rsid w:val="00F01981"/>
    <w:rsid w:val="00F0268E"/>
    <w:rsid w:val="00F03C55"/>
    <w:rsid w:val="00F048BB"/>
    <w:rsid w:val="00F074E7"/>
    <w:rsid w:val="00F07B82"/>
    <w:rsid w:val="00F2068C"/>
    <w:rsid w:val="00F24BB0"/>
    <w:rsid w:val="00F25A66"/>
    <w:rsid w:val="00F2746E"/>
    <w:rsid w:val="00F31120"/>
    <w:rsid w:val="00F33C5B"/>
    <w:rsid w:val="00F342CF"/>
    <w:rsid w:val="00F358DF"/>
    <w:rsid w:val="00F36D53"/>
    <w:rsid w:val="00F40BD2"/>
    <w:rsid w:val="00F44B49"/>
    <w:rsid w:val="00F45A0E"/>
    <w:rsid w:val="00F45EEB"/>
    <w:rsid w:val="00F50053"/>
    <w:rsid w:val="00F57703"/>
    <w:rsid w:val="00F57973"/>
    <w:rsid w:val="00F60FEE"/>
    <w:rsid w:val="00F61CD2"/>
    <w:rsid w:val="00F64DEA"/>
    <w:rsid w:val="00F7383C"/>
    <w:rsid w:val="00F7445A"/>
    <w:rsid w:val="00F84D4E"/>
    <w:rsid w:val="00F8720F"/>
    <w:rsid w:val="00F877C9"/>
    <w:rsid w:val="00F91768"/>
    <w:rsid w:val="00F94543"/>
    <w:rsid w:val="00F95C0C"/>
    <w:rsid w:val="00F95E90"/>
    <w:rsid w:val="00F963B7"/>
    <w:rsid w:val="00F97870"/>
    <w:rsid w:val="00FA0BA1"/>
    <w:rsid w:val="00FA23CC"/>
    <w:rsid w:val="00FA6D78"/>
    <w:rsid w:val="00FA7780"/>
    <w:rsid w:val="00FB0479"/>
    <w:rsid w:val="00FB31E2"/>
    <w:rsid w:val="00FB323C"/>
    <w:rsid w:val="00FB352D"/>
    <w:rsid w:val="00FB451F"/>
    <w:rsid w:val="00FB6FB9"/>
    <w:rsid w:val="00FC0F65"/>
    <w:rsid w:val="00FC2AE9"/>
    <w:rsid w:val="00FC2BD3"/>
    <w:rsid w:val="00FC38C4"/>
    <w:rsid w:val="00FD1F2E"/>
    <w:rsid w:val="00FD6B65"/>
    <w:rsid w:val="00FE1879"/>
    <w:rsid w:val="00FE4E33"/>
    <w:rsid w:val="00FF08DD"/>
    <w:rsid w:val="00FF290A"/>
    <w:rsid w:val="00FF46BE"/>
    <w:rsid w:val="00FF4B04"/>
    <w:rsid w:val="00FF6083"/>
    <w:rsid w:val="00FF65A9"/>
    <w:rsid w:val="00FF6614"/>
    <w:rsid w:val="04E10832"/>
    <w:rsid w:val="082771AB"/>
    <w:rsid w:val="086D52B5"/>
    <w:rsid w:val="0A717CA3"/>
    <w:rsid w:val="0C396BCF"/>
    <w:rsid w:val="0D2E608B"/>
    <w:rsid w:val="1071372A"/>
    <w:rsid w:val="10AD7D9B"/>
    <w:rsid w:val="17F25776"/>
    <w:rsid w:val="18E932E8"/>
    <w:rsid w:val="18FC7D9D"/>
    <w:rsid w:val="1A455B93"/>
    <w:rsid w:val="1C026332"/>
    <w:rsid w:val="21BE0BA6"/>
    <w:rsid w:val="26164C47"/>
    <w:rsid w:val="2816186A"/>
    <w:rsid w:val="281A1B82"/>
    <w:rsid w:val="2AD261A1"/>
    <w:rsid w:val="2FEB1117"/>
    <w:rsid w:val="332E74DD"/>
    <w:rsid w:val="36CD76C8"/>
    <w:rsid w:val="384D672F"/>
    <w:rsid w:val="3A915A51"/>
    <w:rsid w:val="3C5C64C2"/>
    <w:rsid w:val="3DA1060F"/>
    <w:rsid w:val="40085AC1"/>
    <w:rsid w:val="40DF73D5"/>
    <w:rsid w:val="41310CE3"/>
    <w:rsid w:val="41390DD5"/>
    <w:rsid w:val="41FF6891"/>
    <w:rsid w:val="42DC0DDB"/>
    <w:rsid w:val="471F573B"/>
    <w:rsid w:val="47615886"/>
    <w:rsid w:val="4D81537C"/>
    <w:rsid w:val="4DD63A3B"/>
    <w:rsid w:val="51526E7A"/>
    <w:rsid w:val="54DA600D"/>
    <w:rsid w:val="56080C6D"/>
    <w:rsid w:val="57D1629D"/>
    <w:rsid w:val="591D1A1E"/>
    <w:rsid w:val="5AB50E55"/>
    <w:rsid w:val="5CDB5C20"/>
    <w:rsid w:val="5CF86714"/>
    <w:rsid w:val="60255C7C"/>
    <w:rsid w:val="621959C6"/>
    <w:rsid w:val="64B03E04"/>
    <w:rsid w:val="658F5873"/>
    <w:rsid w:val="68CC58FB"/>
    <w:rsid w:val="6D5D13D0"/>
    <w:rsid w:val="70145BC8"/>
    <w:rsid w:val="70473D24"/>
    <w:rsid w:val="71664C36"/>
    <w:rsid w:val="73181555"/>
    <w:rsid w:val="75D7705D"/>
    <w:rsid w:val="785F783E"/>
    <w:rsid w:val="7C194782"/>
    <w:rsid w:val="7C8D4639"/>
    <w:rsid w:val="7F277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qFormat="1" w:unhideWhenUsed="0" w:uiPriority="0" w:semiHidden="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40"/>
    <w:qFormat/>
    <w:uiPriority w:val="0"/>
    <w:pPr>
      <w:keepNext/>
      <w:keepLines/>
      <w:spacing w:before="340" w:after="330" w:line="578" w:lineRule="auto"/>
      <w:outlineLvl w:val="0"/>
    </w:pPr>
    <w:rPr>
      <w:b/>
      <w:bCs/>
      <w:kern w:val="44"/>
      <w:sz w:val="44"/>
      <w:szCs w:val="44"/>
    </w:rPr>
  </w:style>
  <w:style w:type="paragraph" w:styleId="4">
    <w:name w:val="heading 2"/>
    <w:basedOn w:val="1"/>
    <w:next w:val="1"/>
    <w:qFormat/>
    <w:uiPriority w:val="0"/>
    <w:pPr>
      <w:keepNext/>
      <w:outlineLvl w:val="1"/>
    </w:pPr>
    <w:rPr>
      <w:rFonts w:ascii="宋体" w:hAnsi="宋体"/>
      <w:b/>
      <w:bCs/>
      <w:sz w:val="28"/>
    </w:rPr>
  </w:style>
  <w:style w:type="paragraph" w:styleId="5">
    <w:name w:val="heading 3"/>
    <w:basedOn w:val="1"/>
    <w:next w:val="1"/>
    <w:qFormat/>
    <w:uiPriority w:val="0"/>
    <w:pPr>
      <w:keepNext/>
      <w:keepLines/>
      <w:spacing w:before="260" w:after="260" w:line="416" w:lineRule="auto"/>
      <w:outlineLvl w:val="2"/>
    </w:pPr>
    <w:rPr>
      <w:b/>
      <w:bCs/>
      <w:sz w:val="32"/>
      <w:szCs w:val="32"/>
    </w:rPr>
  </w:style>
  <w:style w:type="paragraph" w:styleId="6">
    <w:name w:val="heading 4"/>
    <w:basedOn w:val="1"/>
    <w:next w:val="1"/>
    <w:qFormat/>
    <w:uiPriority w:val="0"/>
    <w:pPr>
      <w:tabs>
        <w:tab w:val="left" w:pos="567"/>
        <w:tab w:val="left" w:pos="907"/>
        <w:tab w:val="left" w:pos="1584"/>
      </w:tabs>
      <w:autoSpaceDE w:val="0"/>
      <w:adjustRightInd w:val="0"/>
      <w:spacing w:before="60" w:after="60" w:line="240" w:lineRule="atLeast"/>
      <w:ind w:left="1584" w:hanging="864"/>
      <w:jc w:val="left"/>
      <w:textAlignment w:val="baseline"/>
      <w:outlineLvl w:val="3"/>
    </w:pPr>
    <w:rPr>
      <w:rFonts w:ascii="Arial" w:hAnsi="Arial"/>
      <w:kern w:val="0"/>
      <w:sz w:val="24"/>
      <w:szCs w:val="20"/>
    </w:rPr>
  </w:style>
  <w:style w:type="paragraph" w:styleId="7">
    <w:name w:val="heading 5"/>
    <w:basedOn w:val="1"/>
    <w:next w:val="1"/>
    <w:qFormat/>
    <w:uiPriority w:val="0"/>
    <w:pPr>
      <w:tabs>
        <w:tab w:val="left" w:pos="567"/>
        <w:tab w:val="left" w:pos="1008"/>
      </w:tabs>
      <w:adjustRightInd w:val="0"/>
      <w:spacing w:before="60" w:after="60" w:line="360" w:lineRule="auto"/>
      <w:ind w:left="1008" w:hanging="1008"/>
      <w:textAlignment w:val="baseline"/>
      <w:outlineLvl w:val="4"/>
    </w:pPr>
    <w:rPr>
      <w:rFonts w:ascii="Arial" w:hAnsi="Arial"/>
      <w:kern w:val="0"/>
      <w:sz w:val="24"/>
      <w:szCs w:val="20"/>
    </w:rPr>
  </w:style>
  <w:style w:type="paragraph" w:styleId="8">
    <w:name w:val="heading 6"/>
    <w:basedOn w:val="1"/>
    <w:next w:val="1"/>
    <w:qFormat/>
    <w:uiPriority w:val="0"/>
    <w:pPr>
      <w:tabs>
        <w:tab w:val="left" w:pos="567"/>
        <w:tab w:val="left" w:pos="1152"/>
      </w:tabs>
      <w:adjustRightInd w:val="0"/>
      <w:spacing w:before="60" w:after="60" w:line="460" w:lineRule="exact"/>
      <w:ind w:left="1152" w:hanging="1152"/>
      <w:jc w:val="left"/>
      <w:textAlignment w:val="baseline"/>
      <w:outlineLvl w:val="5"/>
    </w:pPr>
    <w:rPr>
      <w:rFonts w:ascii="Arial" w:hAnsi="Arial"/>
      <w:kern w:val="0"/>
      <w:sz w:val="24"/>
      <w:szCs w:val="20"/>
    </w:rPr>
  </w:style>
  <w:style w:type="paragraph" w:styleId="9">
    <w:name w:val="heading 7"/>
    <w:basedOn w:val="1"/>
    <w:next w:val="1"/>
    <w:qFormat/>
    <w:uiPriority w:val="0"/>
    <w:pPr>
      <w:tabs>
        <w:tab w:val="left" w:pos="567"/>
        <w:tab w:val="left" w:pos="1296"/>
      </w:tabs>
      <w:adjustRightInd w:val="0"/>
      <w:spacing w:before="60" w:after="60" w:line="460" w:lineRule="exact"/>
      <w:ind w:left="1296" w:hanging="1296"/>
      <w:jc w:val="left"/>
      <w:textAlignment w:val="baseline"/>
      <w:outlineLvl w:val="6"/>
    </w:pPr>
    <w:rPr>
      <w:rFonts w:ascii="Arial" w:hAnsi="Arial"/>
      <w:kern w:val="0"/>
      <w:sz w:val="24"/>
      <w:szCs w:val="20"/>
    </w:rPr>
  </w:style>
  <w:style w:type="paragraph" w:styleId="10">
    <w:name w:val="heading 8"/>
    <w:basedOn w:val="1"/>
    <w:next w:val="1"/>
    <w:qFormat/>
    <w:uiPriority w:val="0"/>
    <w:pPr>
      <w:tabs>
        <w:tab w:val="left" w:pos="567"/>
        <w:tab w:val="left" w:pos="1440"/>
      </w:tabs>
      <w:adjustRightInd w:val="0"/>
      <w:spacing w:before="60" w:after="60" w:line="460" w:lineRule="exact"/>
      <w:ind w:left="1440" w:hanging="1440"/>
      <w:jc w:val="left"/>
      <w:textAlignment w:val="baseline"/>
      <w:outlineLvl w:val="7"/>
    </w:pPr>
    <w:rPr>
      <w:rFonts w:ascii="Arial" w:hAnsi="Arial"/>
      <w:kern w:val="0"/>
      <w:sz w:val="24"/>
      <w:szCs w:val="20"/>
    </w:rPr>
  </w:style>
  <w:style w:type="paragraph" w:styleId="11">
    <w:name w:val="heading 9"/>
    <w:basedOn w:val="1"/>
    <w:next w:val="1"/>
    <w:qFormat/>
    <w:uiPriority w:val="0"/>
    <w:pPr>
      <w:keepNext/>
      <w:keepLines/>
      <w:tabs>
        <w:tab w:val="left" w:pos="567"/>
        <w:tab w:val="left" w:pos="1584"/>
      </w:tabs>
      <w:adjustRightInd w:val="0"/>
      <w:spacing w:before="240" w:after="64" w:line="320" w:lineRule="atLeast"/>
      <w:ind w:left="1584" w:hanging="1584"/>
      <w:jc w:val="left"/>
      <w:textAlignment w:val="baseline"/>
      <w:outlineLvl w:val="8"/>
    </w:pPr>
    <w:rPr>
      <w:rFonts w:ascii="Arial" w:hAnsi="Arial" w:eastAsia="黑体"/>
      <w:kern w:val="0"/>
      <w:sz w:val="24"/>
      <w:szCs w:val="20"/>
    </w:rPr>
  </w:style>
  <w:style w:type="character" w:default="1" w:styleId="36">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12">
    <w:name w:val="toc 7"/>
    <w:basedOn w:val="1"/>
    <w:next w:val="1"/>
    <w:semiHidden/>
    <w:qFormat/>
    <w:uiPriority w:val="0"/>
    <w:pPr>
      <w:spacing w:line="240" w:lineRule="atLeast"/>
      <w:jc w:val="left"/>
    </w:pPr>
    <w:rPr>
      <w:sz w:val="22"/>
      <w:szCs w:val="22"/>
    </w:rPr>
  </w:style>
  <w:style w:type="paragraph" w:styleId="13">
    <w:name w:val="Normal Indent"/>
    <w:basedOn w:val="1"/>
    <w:qFormat/>
    <w:uiPriority w:val="0"/>
    <w:pPr>
      <w:tabs>
        <w:tab w:val="left" w:pos="567"/>
      </w:tabs>
      <w:spacing w:before="60" w:after="60" w:line="240" w:lineRule="atLeast"/>
      <w:ind w:firstLine="420"/>
    </w:pPr>
    <w:rPr>
      <w:rFonts w:ascii="Arial" w:hAnsi="Arial"/>
      <w:sz w:val="24"/>
      <w:szCs w:val="20"/>
    </w:rPr>
  </w:style>
  <w:style w:type="paragraph" w:styleId="14">
    <w:name w:val="annotation text"/>
    <w:basedOn w:val="1"/>
    <w:semiHidden/>
    <w:qFormat/>
    <w:uiPriority w:val="0"/>
    <w:pPr>
      <w:tabs>
        <w:tab w:val="left" w:pos="567"/>
      </w:tabs>
      <w:adjustRightInd w:val="0"/>
      <w:spacing w:before="60" w:after="60" w:line="360" w:lineRule="atLeast"/>
      <w:ind w:firstLine="454"/>
      <w:jc w:val="left"/>
      <w:textAlignment w:val="baseline"/>
    </w:pPr>
    <w:rPr>
      <w:rFonts w:ascii="Arial" w:hAnsi="Arial"/>
      <w:kern w:val="0"/>
      <w:sz w:val="24"/>
      <w:szCs w:val="20"/>
    </w:rPr>
  </w:style>
  <w:style w:type="paragraph" w:styleId="15">
    <w:name w:val="Body Text Indent"/>
    <w:basedOn w:val="1"/>
    <w:link w:val="46"/>
    <w:qFormat/>
    <w:uiPriority w:val="0"/>
    <w:pPr>
      <w:ind w:firstLine="480" w:firstLineChars="200"/>
    </w:pPr>
    <w:rPr>
      <w:sz w:val="24"/>
    </w:rPr>
  </w:style>
  <w:style w:type="paragraph" w:styleId="16">
    <w:name w:val="toc 5"/>
    <w:basedOn w:val="1"/>
    <w:next w:val="1"/>
    <w:semiHidden/>
    <w:qFormat/>
    <w:uiPriority w:val="0"/>
    <w:pPr>
      <w:spacing w:line="240" w:lineRule="atLeast"/>
      <w:jc w:val="left"/>
    </w:pPr>
    <w:rPr>
      <w:sz w:val="22"/>
      <w:szCs w:val="22"/>
    </w:rPr>
  </w:style>
  <w:style w:type="paragraph" w:styleId="17">
    <w:name w:val="toc 3"/>
    <w:basedOn w:val="1"/>
    <w:next w:val="1"/>
    <w:semiHidden/>
    <w:qFormat/>
    <w:uiPriority w:val="0"/>
    <w:pPr>
      <w:spacing w:line="240" w:lineRule="atLeast"/>
      <w:jc w:val="left"/>
    </w:pPr>
    <w:rPr>
      <w:smallCaps/>
      <w:sz w:val="22"/>
      <w:szCs w:val="22"/>
    </w:rPr>
  </w:style>
  <w:style w:type="paragraph" w:styleId="18">
    <w:name w:val="Plain Text"/>
    <w:basedOn w:val="1"/>
    <w:qFormat/>
    <w:uiPriority w:val="0"/>
    <w:rPr>
      <w:rFonts w:ascii="宋体" w:hAnsi="Courier New" w:cs="Courier New"/>
      <w:szCs w:val="21"/>
    </w:rPr>
  </w:style>
  <w:style w:type="paragraph" w:styleId="19">
    <w:name w:val="toc 8"/>
    <w:basedOn w:val="1"/>
    <w:next w:val="1"/>
    <w:semiHidden/>
    <w:qFormat/>
    <w:uiPriority w:val="0"/>
    <w:pPr>
      <w:spacing w:line="240" w:lineRule="atLeast"/>
      <w:jc w:val="left"/>
    </w:pPr>
    <w:rPr>
      <w:sz w:val="22"/>
      <w:szCs w:val="22"/>
    </w:rPr>
  </w:style>
  <w:style w:type="paragraph" w:styleId="20">
    <w:name w:val="Date"/>
    <w:basedOn w:val="1"/>
    <w:next w:val="1"/>
    <w:qFormat/>
    <w:uiPriority w:val="0"/>
    <w:pPr>
      <w:ind w:left="100" w:leftChars="2500"/>
    </w:pPr>
    <w:rPr>
      <w:rFonts w:ascii="仿宋_GB2312"/>
      <w:sz w:val="28"/>
    </w:rPr>
  </w:style>
  <w:style w:type="paragraph" w:styleId="21">
    <w:name w:val="Body Text Indent 2"/>
    <w:basedOn w:val="1"/>
    <w:link w:val="43"/>
    <w:qFormat/>
    <w:uiPriority w:val="0"/>
    <w:pPr>
      <w:spacing w:after="120" w:line="480" w:lineRule="auto"/>
      <w:ind w:left="420" w:leftChars="200"/>
    </w:pPr>
  </w:style>
  <w:style w:type="paragraph" w:styleId="22">
    <w:name w:val="Balloon Text"/>
    <w:basedOn w:val="1"/>
    <w:semiHidden/>
    <w:qFormat/>
    <w:uiPriority w:val="0"/>
    <w:pPr>
      <w:tabs>
        <w:tab w:val="left" w:pos="567"/>
      </w:tabs>
      <w:spacing w:before="60" w:after="60" w:line="240" w:lineRule="atLeast"/>
      <w:ind w:firstLine="454"/>
    </w:pPr>
    <w:rPr>
      <w:rFonts w:ascii="Arial" w:hAnsi="Arial"/>
      <w:sz w:val="18"/>
      <w:szCs w:val="18"/>
    </w:rPr>
  </w:style>
  <w:style w:type="paragraph" w:styleId="23">
    <w:name w:val="footer"/>
    <w:basedOn w:val="1"/>
    <w:link w:val="45"/>
    <w:qFormat/>
    <w:uiPriority w:val="0"/>
    <w:pPr>
      <w:tabs>
        <w:tab w:val="center" w:pos="4153"/>
        <w:tab w:val="right" w:pos="8306"/>
      </w:tabs>
      <w:snapToGrid w:val="0"/>
      <w:jc w:val="left"/>
    </w:pPr>
    <w:rPr>
      <w:sz w:val="18"/>
      <w:szCs w:val="18"/>
    </w:rPr>
  </w:style>
  <w:style w:type="paragraph" w:styleId="24">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qFormat/>
    <w:uiPriority w:val="39"/>
    <w:pPr>
      <w:spacing w:before="360" w:after="360"/>
      <w:jc w:val="left"/>
    </w:pPr>
    <w:rPr>
      <w:bCs/>
      <w:caps/>
      <w:szCs w:val="22"/>
    </w:rPr>
  </w:style>
  <w:style w:type="paragraph" w:styleId="26">
    <w:name w:val="toc 4"/>
    <w:basedOn w:val="1"/>
    <w:next w:val="1"/>
    <w:semiHidden/>
    <w:qFormat/>
    <w:uiPriority w:val="0"/>
    <w:pPr>
      <w:spacing w:line="240" w:lineRule="atLeast"/>
      <w:jc w:val="left"/>
    </w:pPr>
    <w:rPr>
      <w:sz w:val="22"/>
      <w:szCs w:val="22"/>
    </w:rPr>
  </w:style>
  <w:style w:type="paragraph" w:styleId="27">
    <w:name w:val="toc 6"/>
    <w:basedOn w:val="1"/>
    <w:next w:val="1"/>
    <w:semiHidden/>
    <w:qFormat/>
    <w:uiPriority w:val="0"/>
    <w:pPr>
      <w:spacing w:line="240" w:lineRule="atLeast"/>
      <w:jc w:val="left"/>
    </w:pPr>
    <w:rPr>
      <w:sz w:val="22"/>
      <w:szCs w:val="22"/>
    </w:rPr>
  </w:style>
  <w:style w:type="paragraph" w:styleId="28">
    <w:name w:val="Body Text Indent 3"/>
    <w:basedOn w:val="1"/>
    <w:qFormat/>
    <w:uiPriority w:val="0"/>
    <w:pPr>
      <w:spacing w:after="120"/>
      <w:ind w:left="420" w:leftChars="200"/>
    </w:pPr>
    <w:rPr>
      <w:sz w:val="16"/>
      <w:szCs w:val="16"/>
    </w:rPr>
  </w:style>
  <w:style w:type="paragraph" w:styleId="29">
    <w:name w:val="toc 2"/>
    <w:basedOn w:val="1"/>
    <w:next w:val="1"/>
    <w:qFormat/>
    <w:uiPriority w:val="39"/>
    <w:pPr>
      <w:spacing w:line="240" w:lineRule="atLeast"/>
      <w:jc w:val="left"/>
    </w:pPr>
    <w:rPr>
      <w:b/>
      <w:bCs/>
      <w:smallCaps/>
      <w:sz w:val="22"/>
      <w:szCs w:val="22"/>
    </w:rPr>
  </w:style>
  <w:style w:type="paragraph" w:styleId="30">
    <w:name w:val="toc 9"/>
    <w:basedOn w:val="1"/>
    <w:next w:val="1"/>
    <w:semiHidden/>
    <w:qFormat/>
    <w:uiPriority w:val="0"/>
    <w:pPr>
      <w:spacing w:line="240" w:lineRule="atLeast"/>
      <w:jc w:val="left"/>
    </w:pPr>
    <w:rPr>
      <w:sz w:val="22"/>
      <w:szCs w:val="22"/>
    </w:rPr>
  </w:style>
  <w:style w:type="paragraph" w:styleId="31">
    <w:name w:val="Body Text 2"/>
    <w:basedOn w:val="1"/>
    <w:qFormat/>
    <w:uiPriority w:val="0"/>
    <w:pPr>
      <w:adjustRightInd w:val="0"/>
      <w:spacing w:after="120" w:line="480" w:lineRule="auto"/>
      <w:textAlignment w:val="baseline"/>
    </w:pPr>
    <w:rPr>
      <w:kern w:val="0"/>
      <w:szCs w:val="20"/>
    </w:rPr>
  </w:style>
  <w:style w:type="paragraph" w:styleId="32">
    <w:name w:val="Normal (Web)"/>
    <w:basedOn w:val="1"/>
    <w:qFormat/>
    <w:uiPriority w:val="0"/>
    <w:pPr>
      <w:widowControl/>
      <w:spacing w:before="100" w:beforeAutospacing="1" w:after="100" w:afterAutospacing="1"/>
      <w:jc w:val="left"/>
    </w:pPr>
    <w:rPr>
      <w:rFonts w:hint="eastAsia" w:ascii="宋体" w:hAnsi="宋体"/>
      <w:kern w:val="0"/>
      <w:sz w:val="24"/>
    </w:rPr>
  </w:style>
  <w:style w:type="table" w:styleId="34">
    <w:name w:val="Table Grid"/>
    <w:basedOn w:val="3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Table Grid 5"/>
    <w:basedOn w:val="3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37">
    <w:name w:val="page number"/>
    <w:basedOn w:val="36"/>
    <w:qFormat/>
    <w:uiPriority w:val="0"/>
  </w:style>
  <w:style w:type="character" w:styleId="38">
    <w:name w:val="FollowedHyperlink"/>
    <w:qFormat/>
    <w:uiPriority w:val="0"/>
    <w:rPr>
      <w:color w:val="800080"/>
      <w:u w:val="single"/>
    </w:rPr>
  </w:style>
  <w:style w:type="character" w:styleId="39">
    <w:name w:val="Hyperlink"/>
    <w:qFormat/>
    <w:uiPriority w:val="99"/>
    <w:rPr>
      <w:color w:val="0000FF"/>
      <w:u w:val="single"/>
    </w:rPr>
  </w:style>
  <w:style w:type="character" w:customStyle="1" w:styleId="40">
    <w:name w:val="标题 1 字符"/>
    <w:link w:val="3"/>
    <w:qFormat/>
    <w:locked/>
    <w:uiPriority w:val="0"/>
    <w:rPr>
      <w:rFonts w:eastAsia="宋体"/>
      <w:b/>
      <w:bCs/>
      <w:kern w:val="44"/>
      <w:sz w:val="44"/>
      <w:szCs w:val="44"/>
      <w:lang w:val="en-US" w:eastAsia="zh-CN" w:bidi="ar-SA"/>
    </w:rPr>
  </w:style>
  <w:style w:type="character" w:customStyle="1" w:styleId="41">
    <w:name w:val="节标题 1.1 Char1"/>
    <w:qFormat/>
    <w:uiPriority w:val="0"/>
    <w:rPr>
      <w:rFonts w:ascii="Arial" w:hAnsi="Arial" w:eastAsia="宋体"/>
      <w:b/>
      <w:kern w:val="2"/>
      <w:sz w:val="28"/>
      <w:lang w:val="en-US" w:eastAsia="zh-CN" w:bidi="ar-SA"/>
    </w:rPr>
  </w:style>
  <w:style w:type="character" w:customStyle="1" w:styleId="42">
    <w:name w:val="标题 1 Char Char Char"/>
    <w:qFormat/>
    <w:uiPriority w:val="0"/>
    <w:rPr>
      <w:rFonts w:ascii="Arial" w:hAnsi="Arial" w:eastAsia="宋体"/>
      <w:b/>
      <w:kern w:val="2"/>
      <w:sz w:val="32"/>
      <w:szCs w:val="32"/>
      <w:lang w:val="en-US" w:eastAsia="zh-CN" w:bidi="ar-SA"/>
    </w:rPr>
  </w:style>
  <w:style w:type="character" w:customStyle="1" w:styleId="43">
    <w:name w:val="正文文本缩进 2 字符"/>
    <w:link w:val="21"/>
    <w:qFormat/>
    <w:locked/>
    <w:uiPriority w:val="0"/>
    <w:rPr>
      <w:rFonts w:eastAsia="宋体"/>
      <w:kern w:val="2"/>
      <w:sz w:val="21"/>
      <w:szCs w:val="24"/>
      <w:lang w:val="en-US" w:eastAsia="zh-CN" w:bidi="ar-SA"/>
    </w:rPr>
  </w:style>
  <w:style w:type="character" w:customStyle="1" w:styleId="44">
    <w:name w:val="页眉 字符"/>
    <w:link w:val="24"/>
    <w:qFormat/>
    <w:uiPriority w:val="0"/>
    <w:rPr>
      <w:kern w:val="2"/>
      <w:sz w:val="18"/>
      <w:szCs w:val="18"/>
    </w:rPr>
  </w:style>
  <w:style w:type="character" w:customStyle="1" w:styleId="45">
    <w:name w:val="页脚 字符"/>
    <w:link w:val="23"/>
    <w:semiHidden/>
    <w:qFormat/>
    <w:locked/>
    <w:uiPriority w:val="0"/>
    <w:rPr>
      <w:rFonts w:eastAsia="宋体"/>
      <w:kern w:val="2"/>
      <w:sz w:val="18"/>
      <w:szCs w:val="18"/>
      <w:lang w:val="en-US" w:eastAsia="zh-CN" w:bidi="ar-SA"/>
    </w:rPr>
  </w:style>
  <w:style w:type="character" w:customStyle="1" w:styleId="46">
    <w:name w:val="正文文本缩进 字符"/>
    <w:link w:val="15"/>
    <w:qFormat/>
    <w:locked/>
    <w:uiPriority w:val="0"/>
    <w:rPr>
      <w:rFonts w:eastAsia="宋体"/>
      <w:kern w:val="2"/>
      <w:sz w:val="24"/>
      <w:szCs w:val="24"/>
      <w:lang w:val="en-US" w:eastAsia="zh-CN" w:bidi="ar-SA"/>
    </w:rPr>
  </w:style>
  <w:style w:type="paragraph" w:customStyle="1" w:styleId="47">
    <w:name w:val="样式2"/>
    <w:basedOn w:val="1"/>
    <w:qFormat/>
    <w:uiPriority w:val="0"/>
    <w:pPr>
      <w:adjustRightInd w:val="0"/>
      <w:spacing w:line="410" w:lineRule="atLeast"/>
      <w:jc w:val="left"/>
      <w:textAlignment w:val="baseline"/>
    </w:pPr>
    <w:rPr>
      <w:kern w:val="0"/>
      <w:sz w:val="24"/>
      <w:szCs w:val="20"/>
    </w:rPr>
  </w:style>
  <w:style w:type="paragraph" w:customStyle="1" w:styleId="48">
    <w:name w:val="日期1"/>
    <w:basedOn w:val="1"/>
    <w:next w:val="1"/>
    <w:qFormat/>
    <w:uiPriority w:val="0"/>
    <w:pPr>
      <w:adjustRightInd w:val="0"/>
    </w:pPr>
    <w:rPr>
      <w:rFonts w:hint="eastAsia" w:ascii="宋体"/>
      <w:kern w:val="0"/>
      <w:sz w:val="28"/>
      <w:szCs w:val="20"/>
    </w:rPr>
  </w:style>
  <w:style w:type="paragraph" w:customStyle="1" w:styleId="49">
    <w:name w:val="标题4"/>
    <w:basedOn w:val="6"/>
    <w:qFormat/>
    <w:uiPriority w:val="0"/>
    <w:pPr>
      <w:keepNext/>
      <w:tabs>
        <w:tab w:val="left" w:pos="2240"/>
        <w:tab w:val="clear" w:pos="567"/>
        <w:tab w:val="clear" w:pos="907"/>
        <w:tab w:val="clear" w:pos="1584"/>
      </w:tabs>
      <w:autoSpaceDE/>
      <w:spacing w:before="0" w:after="0" w:line="360" w:lineRule="auto"/>
      <w:ind w:left="2240" w:hanging="420"/>
      <w:jc w:val="both"/>
    </w:pPr>
  </w:style>
  <w:style w:type="paragraph" w:customStyle="1" w:styleId="50">
    <w:name w:val="样式1"/>
    <w:basedOn w:val="1"/>
    <w:qFormat/>
    <w:uiPriority w:val="0"/>
    <w:pPr>
      <w:adjustRightInd w:val="0"/>
      <w:spacing w:before="240" w:after="240"/>
      <w:jc w:val="center"/>
      <w:textAlignment w:val="bottom"/>
    </w:pPr>
    <w:rPr>
      <w:rFonts w:ascii="Arial" w:hAnsi="Arial" w:eastAsia="黑体"/>
      <w:b/>
      <w:spacing w:val="120"/>
      <w:kern w:val="0"/>
      <w:sz w:val="30"/>
      <w:szCs w:val="20"/>
    </w:rPr>
  </w:style>
  <w:style w:type="paragraph" w:customStyle="1" w:styleId="51">
    <w:name w:val="表格"/>
    <w:basedOn w:val="1"/>
    <w:qFormat/>
    <w:uiPriority w:val="0"/>
    <w:pPr>
      <w:tabs>
        <w:tab w:val="left" w:pos="737"/>
      </w:tabs>
      <w:adjustRightInd w:val="0"/>
      <w:spacing w:before="60" w:after="60"/>
      <w:jc w:val="center"/>
      <w:textAlignment w:val="bottom"/>
    </w:pPr>
    <w:rPr>
      <w:snapToGrid w:val="0"/>
      <w:kern w:val="0"/>
      <w:szCs w:val="21"/>
    </w:rPr>
  </w:style>
  <w:style w:type="paragraph" w:customStyle="1" w:styleId="52">
    <w:name w:val="标题1"/>
    <w:basedOn w:val="3"/>
    <w:qFormat/>
    <w:uiPriority w:val="0"/>
    <w:pPr>
      <w:tabs>
        <w:tab w:val="left" w:pos="920"/>
      </w:tabs>
      <w:adjustRightInd w:val="0"/>
      <w:spacing w:before="120" w:after="0" w:line="360" w:lineRule="auto"/>
      <w:ind w:left="920" w:hanging="360"/>
      <w:jc w:val="center"/>
      <w:textAlignment w:val="baseline"/>
    </w:pPr>
    <w:rPr>
      <w:b w:val="0"/>
      <w:bCs w:val="0"/>
      <w:sz w:val="28"/>
      <w:szCs w:val="32"/>
    </w:rPr>
  </w:style>
  <w:style w:type="paragraph" w:customStyle="1" w:styleId="53">
    <w:name w:val="标题2"/>
    <w:basedOn w:val="4"/>
    <w:qFormat/>
    <w:uiPriority w:val="0"/>
    <w:pPr>
      <w:keepLines/>
      <w:tabs>
        <w:tab w:val="left" w:pos="567"/>
        <w:tab w:val="left" w:pos="1400"/>
      </w:tabs>
      <w:adjustRightInd w:val="0"/>
      <w:spacing w:line="360" w:lineRule="auto"/>
      <w:ind w:left="1400" w:hanging="420"/>
      <w:textAlignment w:val="baseline"/>
    </w:pPr>
    <w:rPr>
      <w:rFonts w:ascii="Times New Roman" w:hAnsi="Times New Roman"/>
      <w:b w:val="0"/>
      <w:bCs w:val="0"/>
      <w:kern w:val="0"/>
      <w:sz w:val="24"/>
      <w:szCs w:val="20"/>
    </w:rPr>
  </w:style>
  <w:style w:type="paragraph" w:customStyle="1" w:styleId="54">
    <w:name w:val="标题3"/>
    <w:basedOn w:val="5"/>
    <w:qFormat/>
    <w:uiPriority w:val="0"/>
    <w:pPr>
      <w:keepLines w:val="0"/>
      <w:tabs>
        <w:tab w:val="left" w:pos="840"/>
      </w:tabs>
      <w:adjustRightInd w:val="0"/>
      <w:spacing w:before="0" w:after="0" w:line="360" w:lineRule="auto"/>
      <w:ind w:firstLine="480"/>
      <w:textAlignment w:val="baseline"/>
    </w:pPr>
    <w:rPr>
      <w:b w:val="0"/>
      <w:bCs w:val="0"/>
      <w:kern w:val="0"/>
      <w:sz w:val="24"/>
      <w:szCs w:val="20"/>
    </w:rPr>
  </w:style>
  <w:style w:type="paragraph" w:customStyle="1" w:styleId="55">
    <w:name w:val="表格1"/>
    <w:basedOn w:val="1"/>
    <w:qFormat/>
    <w:uiPriority w:val="0"/>
    <w:pPr>
      <w:tabs>
        <w:tab w:val="left" w:pos="737"/>
      </w:tabs>
      <w:adjustRightInd w:val="0"/>
      <w:spacing w:before="120" w:after="120"/>
      <w:jc w:val="left"/>
      <w:textAlignment w:val="baseline"/>
    </w:pPr>
    <w:rPr>
      <w:rFonts w:ascii="Arial" w:hAnsi="Arial"/>
      <w:kern w:val="24"/>
      <w:sz w:val="24"/>
      <w:szCs w:val="20"/>
    </w:rPr>
  </w:style>
  <w:style w:type="paragraph" w:customStyle="1" w:styleId="56">
    <w:name w:val="Char"/>
    <w:basedOn w:val="1"/>
    <w:qFormat/>
    <w:uiPriority w:val="0"/>
  </w:style>
  <w:style w:type="paragraph" w:customStyle="1" w:styleId="57">
    <w:name w:val="xl22"/>
    <w:basedOn w:val="1"/>
    <w:qFormat/>
    <w:uiPriority w:val="0"/>
    <w:pPr>
      <w:widowControl/>
      <w:spacing w:before="100" w:beforeAutospacing="1" w:after="100" w:afterAutospacing="1"/>
      <w:jc w:val="center"/>
    </w:pPr>
    <w:rPr>
      <w:rFonts w:ascii="宋体" w:hAnsi="宋体"/>
      <w:kern w:val="0"/>
      <w:sz w:val="24"/>
    </w:rPr>
  </w:style>
  <w:style w:type="paragraph" w:customStyle="1" w:styleId="58">
    <w:name w:val="Char Char"/>
    <w:basedOn w:val="1"/>
    <w:qFormat/>
    <w:uiPriority w:val="0"/>
    <w:rPr>
      <w:szCs w:val="20"/>
    </w:rPr>
  </w:style>
  <w:style w:type="paragraph" w:customStyle="1" w:styleId="59">
    <w:name w:val="列出段落1"/>
    <w:basedOn w:val="1"/>
    <w:qFormat/>
    <w:uiPriority w:val="34"/>
    <w:pPr>
      <w:ind w:firstLine="420" w:firstLineChars="200"/>
    </w:pPr>
    <w:rPr>
      <w:rFonts w:ascii="Calibri" w:hAnsi="Calibri"/>
      <w:szCs w:val="22"/>
    </w:rPr>
  </w:style>
  <w:style w:type="paragraph" w:styleId="60">
    <w:name w:val="List Paragraph"/>
    <w:basedOn w:val="1"/>
    <w:qFormat/>
    <w:uiPriority w:val="99"/>
    <w:pPr>
      <w:ind w:firstLine="420" w:firstLineChars="200"/>
    </w:pPr>
  </w:style>
  <w:style w:type="paragraph" w:customStyle="1" w:styleId="61">
    <w:name w:val="列出段落11"/>
    <w:basedOn w:val="1"/>
    <w:qFormat/>
    <w:uiPriority w:val="34"/>
    <w:pPr>
      <w:ind w:firstLine="420" w:firstLineChars="200"/>
    </w:pPr>
  </w:style>
  <w:style w:type="paragraph" w:customStyle="1" w:styleId="62">
    <w:name w:val="TOC 标题1"/>
    <w:basedOn w:val="3"/>
    <w:next w:val="1"/>
    <w:unhideWhenUsed/>
    <w:qFormat/>
    <w:uiPriority w:val="39"/>
    <w:pPr>
      <w:outlineLvl w:val="9"/>
    </w:pPr>
  </w:style>
  <w:style w:type="character" w:customStyle="1" w:styleId="63">
    <w:name w:val="font01"/>
    <w:basedOn w:val="36"/>
    <w:qFormat/>
    <w:uiPriority w:val="0"/>
    <w:rPr>
      <w:rFonts w:hint="eastAsia" w:ascii="宋体" w:hAnsi="宋体" w:eastAsia="宋体" w:cs="宋体"/>
      <w:color w:val="000000"/>
      <w:sz w:val="20"/>
      <w:szCs w:val="20"/>
      <w:u w:val="none"/>
    </w:rPr>
  </w:style>
  <w:style w:type="character" w:customStyle="1" w:styleId="64">
    <w:name w:val="未处理的提及1"/>
    <w:basedOn w:val="3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0FC976-ED29-4C5D-BAC6-0E11DE84500D}">
  <ds:schemaRefs/>
</ds:datastoreItem>
</file>

<file path=docProps/app.xml><?xml version="1.0" encoding="utf-8"?>
<Properties xmlns="http://schemas.openxmlformats.org/officeDocument/2006/extended-properties" xmlns:vt="http://schemas.openxmlformats.org/officeDocument/2006/docPropsVTypes">
  <Template>Normal.dotm</Template>
  <Company>zhongpec</Company>
  <Pages>23</Pages>
  <Words>13136</Words>
  <Characters>13724</Characters>
  <Lines>114</Lines>
  <Paragraphs>32</Paragraphs>
  <TotalTime>1</TotalTime>
  <ScaleCrop>false</ScaleCrop>
  <LinksUpToDate>false</LinksUpToDate>
  <CharactersWithSpaces>13947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2024-01-14T07:50:00Z</dcterms:created>
  <dc:creator>jlb</dc:creator>
  <cp:lastModifiedBy>小蜗牛，为梦而生</cp:lastModifiedBy>
  <cp:lastPrinted>2024-09-02T02:42:00Z</cp:lastPrinted>
  <dcterms:modified xsi:type="dcterms:W3CDTF">2026-04-27T01:28:14Z</dcterms:modified>
  <dc:title>一、授权委托书</dc:title>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8027606D48284F0499F08809B188DCBF</vt:lpwstr>
  </property>
  <property fmtid="{D5CDD505-2E9C-101B-9397-08002B2CF9AE}" pid="4" name="KSOTemplateDocerSaveRecord">
    <vt:lpwstr>eyJoZGlkIjoiMDJhNTUyOWI1ODBhNjEyZmY5ZDQwNzFmMzI1Y2IxNDIiLCJ1c2VySWQiOiIyODM0ODc0MzQifQ==</vt:lpwstr>
  </property>
</Properties>
</file>