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A0874">
      <w:pPr>
        <w:spacing w:line="360" w:lineRule="auto"/>
        <w:jc w:val="center"/>
        <w:rPr>
          <w:b/>
          <w:sz w:val="72"/>
          <w:szCs w:val="72"/>
        </w:rPr>
      </w:pPr>
    </w:p>
    <w:p w14:paraId="5102FDEA">
      <w:pPr>
        <w:spacing w:line="360" w:lineRule="auto"/>
        <w:jc w:val="center"/>
        <w:rPr>
          <w:b/>
          <w:sz w:val="72"/>
          <w:szCs w:val="72"/>
        </w:rPr>
      </w:pPr>
    </w:p>
    <w:p w14:paraId="7AD3E78D">
      <w:pPr>
        <w:spacing w:line="360" w:lineRule="auto"/>
        <w:jc w:val="center"/>
        <w:rPr>
          <w:b/>
          <w:sz w:val="72"/>
        </w:rPr>
      </w:pPr>
      <w:r>
        <w:rPr>
          <w:rFonts w:hint="eastAsia"/>
          <w:b/>
          <w:sz w:val="72"/>
        </w:rPr>
        <w:t>设 备 监 造 大 纲</w:t>
      </w:r>
    </w:p>
    <w:p w14:paraId="2E66FB7E">
      <w:pPr>
        <w:spacing w:line="360" w:lineRule="auto"/>
        <w:jc w:val="center"/>
        <w:rPr>
          <w:b/>
          <w:sz w:val="24"/>
        </w:rPr>
      </w:pPr>
    </w:p>
    <w:p w14:paraId="3FCAE093">
      <w:pPr>
        <w:spacing w:line="360" w:lineRule="auto"/>
        <w:jc w:val="center"/>
        <w:rPr>
          <w:rFonts w:hint="eastAsia" w:eastAsia="宋体"/>
          <w:b/>
          <w:sz w:val="28"/>
          <w:szCs w:val="28"/>
          <w:highlight w:val="red"/>
          <w:lang w:eastAsia="zh-CN"/>
        </w:rPr>
      </w:pPr>
      <w:r>
        <w:rPr>
          <w:b/>
          <w:sz w:val="28"/>
        </w:rPr>
        <w:t>版次01</w:t>
      </w:r>
    </w:p>
    <w:p w14:paraId="65162C09">
      <w:pPr>
        <w:spacing w:line="360" w:lineRule="auto"/>
        <w:jc w:val="center"/>
        <w:rPr>
          <w:b/>
          <w:sz w:val="28"/>
          <w:szCs w:val="28"/>
        </w:rPr>
      </w:pPr>
    </w:p>
    <w:p w14:paraId="1EA43DCC">
      <w:pPr>
        <w:spacing w:line="360" w:lineRule="auto"/>
        <w:jc w:val="center"/>
        <w:rPr>
          <w:b/>
          <w:sz w:val="28"/>
          <w:szCs w:val="28"/>
        </w:rPr>
      </w:pPr>
    </w:p>
    <w:tbl>
      <w:tblPr>
        <w:tblStyle w:val="33"/>
        <w:tblW w:w="7119" w:type="dxa"/>
        <w:jc w:val="center"/>
        <w:tblLayout w:type="fixed"/>
        <w:tblCellMar>
          <w:top w:w="0" w:type="dxa"/>
          <w:left w:w="108" w:type="dxa"/>
          <w:bottom w:w="0" w:type="dxa"/>
          <w:right w:w="108" w:type="dxa"/>
        </w:tblCellMar>
      </w:tblPr>
      <w:tblGrid>
        <w:gridCol w:w="2003"/>
        <w:gridCol w:w="5116"/>
      </w:tblGrid>
      <w:tr w14:paraId="5EB16EE3">
        <w:tblPrEx>
          <w:tblCellMar>
            <w:top w:w="0" w:type="dxa"/>
            <w:left w:w="108" w:type="dxa"/>
            <w:bottom w:w="0" w:type="dxa"/>
            <w:right w:w="108" w:type="dxa"/>
          </w:tblCellMar>
        </w:tblPrEx>
        <w:trPr>
          <w:trHeight w:val="594" w:hRule="atLeast"/>
          <w:jc w:val="center"/>
        </w:trPr>
        <w:tc>
          <w:tcPr>
            <w:tcW w:w="2003" w:type="dxa"/>
            <w:shd w:val="clear" w:color="auto" w:fill="auto"/>
            <w:vAlign w:val="center"/>
          </w:tcPr>
          <w:p w14:paraId="1DE37D80">
            <w:pPr>
              <w:spacing w:line="360" w:lineRule="auto"/>
              <w:jc w:val="left"/>
              <w:rPr>
                <w:b/>
                <w:sz w:val="24"/>
              </w:rPr>
            </w:pPr>
            <w:r>
              <w:rPr>
                <w:b/>
                <w:sz w:val="24"/>
              </w:rPr>
              <w:t>项目名称：</w:t>
            </w:r>
          </w:p>
        </w:tc>
        <w:tc>
          <w:tcPr>
            <w:tcW w:w="5116" w:type="dxa"/>
            <w:tcBorders>
              <w:bottom w:val="single" w:color="auto" w:sz="4" w:space="0"/>
            </w:tcBorders>
            <w:shd w:val="clear" w:color="auto" w:fill="auto"/>
            <w:vAlign w:val="center"/>
          </w:tcPr>
          <w:p>
            <w:r>
              <w:rPr>
                <w:rFonts w:ascii="宋体" w:hAnsi="宋体" w:eastAsia="宋体"/>
                <w:sz w:val="21"/>
              </w:rPr>
              <w:t>1100万吨/年炼油和高端新材料项目2#50万吨/年聚丙烯装置</w:t>
            </w:r>
          </w:p>
        </w:tc>
      </w:tr>
      <w:tr w14:paraId="15918042">
        <w:tblPrEx>
          <w:tblCellMar>
            <w:top w:w="0" w:type="dxa"/>
            <w:left w:w="108" w:type="dxa"/>
            <w:bottom w:w="0" w:type="dxa"/>
            <w:right w:w="108" w:type="dxa"/>
          </w:tblCellMar>
        </w:tblPrEx>
        <w:trPr>
          <w:trHeight w:val="612" w:hRule="atLeast"/>
          <w:jc w:val="center"/>
        </w:trPr>
        <w:tc>
          <w:tcPr>
            <w:tcW w:w="2003" w:type="dxa"/>
            <w:shd w:val="clear" w:color="auto" w:fill="auto"/>
            <w:vAlign w:val="center"/>
          </w:tcPr>
          <w:p w14:paraId="57F7ECE1">
            <w:pPr>
              <w:spacing w:line="360" w:lineRule="auto"/>
              <w:jc w:val="left"/>
              <w:rPr>
                <w:b/>
                <w:sz w:val="24"/>
              </w:rPr>
            </w:pPr>
            <w:r>
              <w:rPr>
                <w:b/>
                <w:sz w:val="24"/>
              </w:rPr>
              <w:t>设备名称：</w:t>
            </w:r>
          </w:p>
        </w:tc>
        <w:tc>
          <w:tcPr>
            <w:tcW w:w="5116" w:type="dxa"/>
            <w:tcBorders>
              <w:top w:val="single" w:color="auto" w:sz="4" w:space="0"/>
              <w:bottom w:val="single" w:color="auto" w:sz="4" w:space="0"/>
            </w:tcBorders>
            <w:shd w:val="clear" w:color="auto" w:fill="auto"/>
            <w:vAlign w:val="center"/>
          </w:tcPr>
          <w:p>
            <w:r>
              <w:rPr>
                <w:rFonts w:ascii="宋体" w:hAnsi="宋体" w:eastAsia="宋体"/>
                <w:sz w:val="21"/>
              </w:rPr>
              <w:t>循环气冷凝器</w:t>
            </w:r>
          </w:p>
        </w:tc>
      </w:tr>
    </w:tbl>
    <w:p w14:paraId="09F213A2">
      <w:pPr>
        <w:spacing w:line="360" w:lineRule="auto"/>
        <w:jc w:val="center"/>
        <w:rPr>
          <w:b/>
          <w:sz w:val="28"/>
          <w:szCs w:val="28"/>
        </w:rPr>
      </w:pPr>
    </w:p>
    <w:p w14:paraId="26E7F569">
      <w:pPr>
        <w:spacing w:line="360" w:lineRule="auto"/>
        <w:ind w:firstLine="2409" w:firstLineChars="857"/>
        <w:rPr>
          <w:b/>
          <w:sz w:val="28"/>
          <w:szCs w:val="28"/>
        </w:rPr>
      </w:pPr>
      <w:r>
        <w:rPr>
          <w:rFonts w:hint="eastAsia"/>
          <w:b/>
          <w:sz w:val="28"/>
          <w:szCs w:val="28"/>
        </w:rPr>
        <w:t>业主方审核：</w:t>
      </w:r>
    </w:p>
    <w:p w14:paraId="2BBE8288">
      <w:pPr>
        <w:spacing w:line="360" w:lineRule="auto"/>
        <w:jc w:val="center"/>
        <w:rPr>
          <w:b/>
          <w:sz w:val="28"/>
          <w:szCs w:val="28"/>
        </w:rPr>
      </w:pPr>
    </w:p>
    <w:tbl>
      <w:tblPr>
        <w:tblStyle w:val="33"/>
        <w:tblW w:w="4265" w:type="dxa"/>
        <w:jc w:val="center"/>
        <w:tblLayout w:type="fixed"/>
        <w:tblCellMar>
          <w:top w:w="0" w:type="dxa"/>
          <w:left w:w="108" w:type="dxa"/>
          <w:bottom w:w="0" w:type="dxa"/>
          <w:right w:w="108" w:type="dxa"/>
        </w:tblCellMar>
      </w:tblPr>
      <w:tblGrid>
        <w:gridCol w:w="1147"/>
        <w:gridCol w:w="3118"/>
      </w:tblGrid>
      <w:tr w14:paraId="542D872A">
        <w:tblPrEx>
          <w:tblCellMar>
            <w:top w:w="0" w:type="dxa"/>
            <w:left w:w="108" w:type="dxa"/>
            <w:bottom w:w="0" w:type="dxa"/>
            <w:right w:w="108" w:type="dxa"/>
          </w:tblCellMar>
        </w:tblPrEx>
        <w:trPr>
          <w:trHeight w:val="680" w:hRule="atLeast"/>
          <w:jc w:val="center"/>
        </w:trPr>
        <w:tc>
          <w:tcPr>
            <w:tcW w:w="1147" w:type="dxa"/>
            <w:shd w:val="clear" w:color="auto" w:fill="auto"/>
            <w:vAlign w:val="center"/>
          </w:tcPr>
          <w:p w14:paraId="46A25686">
            <w:pPr>
              <w:spacing w:line="360" w:lineRule="auto"/>
              <w:jc w:val="center"/>
              <w:rPr>
                <w:b/>
                <w:sz w:val="24"/>
              </w:rPr>
            </w:pPr>
            <w:r>
              <w:rPr>
                <w:b/>
                <w:sz w:val="24"/>
              </w:rPr>
              <w:t>编制：</w:t>
            </w:r>
          </w:p>
        </w:tc>
        <w:tc>
          <w:tcPr>
            <w:tcW w:w="3118" w:type="dxa"/>
            <w:tcBorders>
              <w:bottom w:val="single" w:color="auto" w:sz="4" w:space="0"/>
            </w:tcBorders>
            <w:shd w:val="clear" w:color="auto" w:fill="auto"/>
            <w:vAlign w:val="center"/>
          </w:tcPr>
          <w:p w14:paraId="5CDE3895">
            <w:pPr>
              <w:spacing w:line="360" w:lineRule="auto"/>
              <w:jc w:val="center"/>
              <w:rPr>
                <w:sz w:val="24"/>
              </w:rPr>
            </w:pPr>
          </w:p>
        </w:tc>
      </w:tr>
      <w:tr w14:paraId="4BE79CC3">
        <w:tblPrEx>
          <w:tblCellMar>
            <w:top w:w="0" w:type="dxa"/>
            <w:left w:w="108" w:type="dxa"/>
            <w:bottom w:w="0" w:type="dxa"/>
            <w:right w:w="108" w:type="dxa"/>
          </w:tblCellMar>
        </w:tblPrEx>
        <w:trPr>
          <w:trHeight w:val="680" w:hRule="atLeast"/>
          <w:jc w:val="center"/>
        </w:trPr>
        <w:tc>
          <w:tcPr>
            <w:tcW w:w="1147" w:type="dxa"/>
            <w:shd w:val="clear" w:color="auto" w:fill="auto"/>
            <w:vAlign w:val="center"/>
          </w:tcPr>
          <w:p w14:paraId="71A74AB2">
            <w:pPr>
              <w:spacing w:line="360" w:lineRule="auto"/>
              <w:jc w:val="center"/>
              <w:rPr>
                <w:b/>
                <w:sz w:val="24"/>
              </w:rPr>
            </w:pPr>
            <w:r>
              <w:rPr>
                <w:rFonts w:hint="eastAsia"/>
                <w:b/>
                <w:sz w:val="24"/>
              </w:rPr>
              <w:t>审查：</w:t>
            </w:r>
          </w:p>
        </w:tc>
        <w:tc>
          <w:tcPr>
            <w:tcW w:w="3118" w:type="dxa"/>
            <w:tcBorders>
              <w:bottom w:val="single" w:color="auto" w:sz="4" w:space="0"/>
            </w:tcBorders>
            <w:shd w:val="clear" w:color="auto" w:fill="auto"/>
            <w:vAlign w:val="center"/>
          </w:tcPr>
          <w:p w14:paraId="39E972D8">
            <w:pPr>
              <w:jc w:val="center"/>
              <w:rPr>
                <w:sz w:val="24"/>
              </w:rPr>
            </w:pPr>
          </w:p>
        </w:tc>
      </w:tr>
      <w:tr w14:paraId="4F8EF023">
        <w:tblPrEx>
          <w:tblCellMar>
            <w:top w:w="0" w:type="dxa"/>
            <w:left w:w="108" w:type="dxa"/>
            <w:bottom w:w="0" w:type="dxa"/>
            <w:right w:w="108" w:type="dxa"/>
          </w:tblCellMar>
        </w:tblPrEx>
        <w:trPr>
          <w:trHeight w:val="680" w:hRule="atLeast"/>
          <w:jc w:val="center"/>
        </w:trPr>
        <w:tc>
          <w:tcPr>
            <w:tcW w:w="1147" w:type="dxa"/>
            <w:shd w:val="clear" w:color="auto" w:fill="auto"/>
            <w:vAlign w:val="center"/>
          </w:tcPr>
          <w:p w14:paraId="0F75CBF2">
            <w:pPr>
              <w:spacing w:line="360" w:lineRule="auto"/>
              <w:jc w:val="center"/>
              <w:rPr>
                <w:b/>
                <w:sz w:val="24"/>
              </w:rPr>
            </w:pPr>
            <w:r>
              <w:rPr>
                <w:b/>
                <w:sz w:val="24"/>
              </w:rPr>
              <w:t>批准：</w:t>
            </w:r>
          </w:p>
        </w:tc>
        <w:tc>
          <w:tcPr>
            <w:tcW w:w="3118" w:type="dxa"/>
            <w:tcBorders>
              <w:top w:val="single" w:color="auto" w:sz="4" w:space="0"/>
              <w:bottom w:val="single" w:color="auto" w:sz="4" w:space="0"/>
            </w:tcBorders>
            <w:shd w:val="clear" w:color="auto" w:fill="auto"/>
            <w:vAlign w:val="center"/>
          </w:tcPr>
          <w:p w14:paraId="351DB3FE">
            <w:pPr>
              <w:jc w:val="center"/>
              <w:rPr>
                <w:sz w:val="24"/>
              </w:rPr>
            </w:pPr>
          </w:p>
        </w:tc>
      </w:tr>
    </w:tbl>
    <w:p w14:paraId="399F58E4">
      <w:pPr>
        <w:spacing w:line="360" w:lineRule="auto"/>
        <w:ind w:firstLine="3204" w:firstLineChars="1140"/>
        <w:rPr>
          <w:b/>
          <w:sz w:val="28"/>
          <w:szCs w:val="28"/>
        </w:rPr>
      </w:pPr>
    </w:p>
    <w:p w14:paraId="3121E511">
      <w:pPr>
        <w:spacing w:line="360" w:lineRule="auto"/>
        <w:rPr>
          <w:b/>
          <w:sz w:val="28"/>
          <w:szCs w:val="36"/>
        </w:rPr>
      </w:pPr>
    </w:p>
    <w:p w14:paraId="7C5D8687">
      <w:pPr>
        <w:spacing w:line="360" w:lineRule="auto"/>
        <w:jc w:val="center"/>
        <w:rPr>
          <w:b/>
          <w:sz w:val="32"/>
        </w:rPr>
      </w:pPr>
      <w:r>
        <w:rPr>
          <w:rFonts w:hint="eastAsia"/>
          <w:b/>
          <w:sz w:val="32"/>
        </w:rPr>
        <w:t>南京三方化工设备</w:t>
      </w:r>
      <w:r>
        <w:rPr>
          <w:b/>
          <w:sz w:val="32"/>
        </w:rPr>
        <w:t>监理有限公司</w:t>
      </w:r>
    </w:p>
    <w:p w14:paraId="2AFEE294">
      <w:pPr>
        <w:spacing w:before="312" w:beforeLines="100" w:line="320" w:lineRule="exact"/>
        <w:ind w:firstLine="210"/>
        <w:jc w:val="center"/>
        <w:rPr>
          <w:b/>
          <w:bCs/>
          <w:sz w:val="28"/>
        </w:rPr>
      </w:pPr>
      <w:r>
        <w:rPr>
          <w:b/>
          <w:bCs/>
          <w:sz w:val="28"/>
        </w:rPr>
        <w:t>2024年2月</w:t>
      </w:r>
    </w:p>
    <w:p w14:paraId="0F471339">
      <w:pPr>
        <w:pStyle w:val="25"/>
        <w:tabs>
          <w:tab w:val="left" w:pos="652"/>
          <w:tab w:val="right" w:leader="dot" w:pos="9344"/>
        </w:tabs>
        <w:spacing w:before="0" w:after="0" w:line="276" w:lineRule="auto"/>
        <w:jc w:val="center"/>
        <w:rPr>
          <w:b/>
          <w:sz w:val="28"/>
          <w:lang w:val="zh-CN"/>
        </w:rPr>
      </w:pPr>
    </w:p>
    <w:p w14:paraId="34B921D0">
      <w:pPr>
        <w:pStyle w:val="25"/>
        <w:tabs>
          <w:tab w:val="left" w:pos="652"/>
          <w:tab w:val="right" w:leader="dot" w:pos="9344"/>
        </w:tabs>
        <w:spacing w:before="0" w:after="0" w:line="276" w:lineRule="auto"/>
        <w:jc w:val="center"/>
        <w:rPr>
          <w:b/>
          <w:sz w:val="28"/>
          <w:lang w:val="zh-CN"/>
        </w:rPr>
      </w:pPr>
      <w:r>
        <w:rPr>
          <w:b/>
          <w:sz w:val="28"/>
          <w:lang w:val="zh-CN"/>
        </w:rPr>
        <w:t>目</w:t>
      </w:r>
      <w:r>
        <w:rPr>
          <w:rFonts w:hint="eastAsia"/>
          <w:b/>
          <w:sz w:val="28"/>
          <w:lang w:val="zh-CN"/>
        </w:rPr>
        <w:t xml:space="preserve">  </w:t>
      </w:r>
      <w:r>
        <w:rPr>
          <w:b/>
          <w:sz w:val="28"/>
          <w:lang w:val="zh-CN"/>
        </w:rPr>
        <w:t>录</w:t>
      </w:r>
    </w:p>
    <w:p w14:paraId="477AC7E2">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rPr>
          <w:b/>
          <w:szCs w:val="21"/>
        </w:rPr>
        <w:fldChar w:fldCharType="begin"/>
      </w:r>
      <w:r>
        <w:rPr>
          <w:b/>
          <w:szCs w:val="21"/>
        </w:rPr>
        <w:instrText xml:space="preserve"> </w:instrText>
      </w:r>
      <w:r>
        <w:rPr>
          <w:rFonts w:hint="eastAsia"/>
          <w:b/>
          <w:szCs w:val="21"/>
        </w:rPr>
        <w:instrText xml:space="preserve">TOC \o "1-3" \h \z \u</w:instrText>
      </w:r>
      <w:r>
        <w:rPr>
          <w:b/>
          <w:szCs w:val="21"/>
        </w:rPr>
        <w:instrText xml:space="preserve"> </w:instrText>
      </w:r>
      <w:r>
        <w:rPr>
          <w:b/>
          <w:szCs w:val="21"/>
        </w:rPr>
        <w:fldChar w:fldCharType="separate"/>
      </w:r>
      <w:r>
        <w:fldChar w:fldCharType="begin"/>
      </w:r>
      <w:r>
        <w:instrText xml:space="preserve"> HYPERLINK \l "_Toc176165874" </w:instrText>
      </w:r>
      <w:r>
        <w:fldChar w:fldCharType="separate"/>
      </w:r>
      <w:r>
        <w:rPr>
          <w:rStyle w:val="39"/>
          <w:rFonts w:hint="eastAsia"/>
          <w:b/>
          <w:sz w:val="24"/>
          <w:szCs w:val="24"/>
        </w:rPr>
        <w:t>一、</w:t>
      </w:r>
      <w:r>
        <w:rPr>
          <w:rFonts w:hint="eastAsia" w:asciiTheme="minorHAnsi" w:hAnsiTheme="minorHAnsi" w:eastAsiaTheme="minorEastAsia" w:cstheme="minorBidi"/>
          <w:bCs w:val="0"/>
          <w:caps w:val="0"/>
          <w:sz w:val="24"/>
          <w:szCs w:val="24"/>
          <w14:ligatures w14:val="standardContextual"/>
        </w:rPr>
        <w:tab/>
      </w:r>
      <w:r>
        <w:rPr>
          <w:rStyle w:val="39"/>
          <w:rFonts w:hint="eastAsia"/>
          <w:b/>
          <w:sz w:val="24"/>
          <w:szCs w:val="24"/>
        </w:rPr>
        <w:t>编制说明</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_Toc176165874 \h</w:instrText>
      </w:r>
      <w:r>
        <w:rPr>
          <w:rFonts w:hint="eastAsia"/>
          <w:sz w:val="24"/>
          <w:szCs w:val="24"/>
        </w:rPr>
        <w:instrText xml:space="preserve"> </w:instrText>
      </w:r>
      <w:r>
        <w:rPr>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4C52F6BA">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"_Toc176165875" </w:instrText>
      </w:r>
      <w:r>
        <w:fldChar w:fldCharType="separate"/>
      </w:r>
      <w:r>
        <w:rPr>
          <w:rStyle w:val="39"/>
          <w:rFonts w:hint="eastAsia"/>
          <w:b/>
          <w:sz w:val="24"/>
          <w:szCs w:val="24"/>
        </w:rPr>
        <w:t>二、</w:t>
      </w:r>
      <w:r>
        <w:rPr>
          <w:rFonts w:hint="eastAsia" w:asciiTheme="minorHAnsi" w:hAnsiTheme="minorHAnsi" w:eastAsiaTheme="minorEastAsia" w:cstheme="minorBidi"/>
          <w:bCs w:val="0"/>
          <w:caps w:val="0"/>
          <w:sz w:val="24"/>
          <w:szCs w:val="24"/>
          <w14:ligatures w14:val="standardContextual"/>
        </w:rPr>
        <w:tab/>
      </w:r>
      <w:r>
        <w:rPr>
          <w:rStyle w:val="39"/>
          <w:rFonts w:hint="eastAsia"/>
          <w:b/>
          <w:sz w:val="24"/>
          <w:szCs w:val="24"/>
        </w:rPr>
        <w:t>监理工作依据</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_Toc176165875 \h</w:instrText>
      </w:r>
      <w:r>
        <w:rPr>
          <w:rFonts w:hint="eastAsia"/>
          <w:sz w:val="24"/>
          <w:szCs w:val="24"/>
        </w:rPr>
        <w:instrText xml:space="preserve"> </w:instrText>
      </w:r>
      <w:r>
        <w:rPr>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25D01E4E">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"_Toc176165876" </w:instrText>
      </w:r>
      <w:r>
        <w:fldChar w:fldCharType="separate"/>
      </w:r>
      <w:r>
        <w:rPr>
          <w:rStyle w:val="39"/>
          <w:rFonts w:hint="eastAsia" w:ascii="宋体" w:hAnsi="宋体"/>
          <w:b/>
          <w:sz w:val="24"/>
          <w:szCs w:val="24"/>
        </w:rPr>
        <w:t>三、</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监理工作范围</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_Toc176165876 \h</w:instrText>
      </w:r>
      <w:r>
        <w:rPr>
          <w:rFonts w:hint="eastAsia"/>
          <w:sz w:val="24"/>
          <w:szCs w:val="24"/>
        </w:rPr>
        <w:instrText xml:space="preserve"> </w:instrText>
      </w:r>
      <w:r>
        <w:rPr>
          <w:sz w:val="24"/>
          <w:szCs w:val="24"/>
        </w:rPr>
        <w:fldChar w:fldCharType="separate"/>
      </w:r>
      <w:r>
        <w:rPr>
          <w:sz w:val="24"/>
          <w:szCs w:val="24"/>
        </w:rPr>
        <w:t>4</w:t>
      </w:r>
      <w:r>
        <w:rPr>
          <w:rFonts w:hint="eastAsia"/>
          <w:sz w:val="24"/>
          <w:szCs w:val="24"/>
        </w:rPr>
        <w:fldChar w:fldCharType="end"/>
      </w:r>
      <w:r>
        <w:rPr>
          <w:rFonts w:hint="eastAsia"/>
          <w:sz w:val="24"/>
          <w:szCs w:val="24"/>
        </w:rPr>
        <w:fldChar w:fldCharType="end"/>
      </w:r>
    </w:p>
    <w:p w14:paraId="3C275CEB">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"_Toc176165877" </w:instrText>
      </w:r>
      <w:r>
        <w:fldChar w:fldCharType="separate"/>
      </w:r>
      <w:r>
        <w:rPr>
          <w:rStyle w:val="39"/>
          <w:rFonts w:hint="eastAsia" w:ascii="宋体" w:hAnsi="宋体"/>
          <w:b/>
          <w:sz w:val="24"/>
          <w:szCs w:val="24"/>
        </w:rPr>
        <w:t>四、</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监理项目组织机构及人员配备原则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_Toc176165877 \h</w:instrText>
      </w:r>
      <w:r>
        <w:rPr>
          <w:rFonts w:hint="eastAsia"/>
          <w:sz w:val="24"/>
          <w:szCs w:val="24"/>
        </w:rPr>
        <w:instrText xml:space="preserve"> </w:instrText>
      </w:r>
      <w:r>
        <w:rPr>
          <w:sz w:val="24"/>
          <w:szCs w:val="24"/>
        </w:rPr>
        <w:fldChar w:fldCharType="separate"/>
      </w:r>
      <w:r>
        <w:rPr>
          <w:sz w:val="24"/>
          <w:szCs w:val="24"/>
        </w:rPr>
        <w:t>4</w:t>
      </w:r>
      <w:r>
        <w:rPr>
          <w:rFonts w:hint="eastAsia"/>
          <w:sz w:val="24"/>
          <w:szCs w:val="24"/>
        </w:rPr>
        <w:fldChar w:fldCharType="end"/>
      </w:r>
      <w:r>
        <w:rPr>
          <w:rFonts w:hint="eastAsia"/>
          <w:sz w:val="24"/>
          <w:szCs w:val="24"/>
        </w:rPr>
        <w:fldChar w:fldCharType="end"/>
      </w:r>
    </w:p>
    <w:p w14:paraId="4D248141">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"_Toc176165878" </w:instrText>
      </w:r>
      <w:r>
        <w:fldChar w:fldCharType="separate"/>
      </w:r>
      <w:r>
        <w:rPr>
          <w:rStyle w:val="39"/>
          <w:rFonts w:hint="eastAsia" w:ascii="宋体" w:hAnsi="宋体"/>
          <w:b/>
          <w:sz w:val="24"/>
          <w:szCs w:val="24"/>
        </w:rPr>
        <w:t>五、</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监造人员的工作职责</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_Toc176165878 \h</w:instrText>
      </w:r>
      <w:r>
        <w:rPr>
          <w:rFonts w:hint="eastAsia"/>
          <w:sz w:val="24"/>
          <w:szCs w:val="24"/>
        </w:rPr>
        <w:instrText xml:space="preserve"> </w:instrText>
      </w:r>
      <w:r>
        <w:rPr>
          <w:sz w:val="24"/>
          <w:szCs w:val="24"/>
        </w:rPr>
        <w:fldChar w:fldCharType="separate"/>
      </w:r>
      <w:r>
        <w:rPr>
          <w:sz w:val="24"/>
          <w:szCs w:val="24"/>
        </w:rPr>
        <w:t>5</w:t>
      </w:r>
      <w:r>
        <w:rPr>
          <w:rFonts w:hint="eastAsia"/>
          <w:sz w:val="24"/>
          <w:szCs w:val="24"/>
        </w:rPr>
        <w:fldChar w:fldCharType="end"/>
      </w:r>
      <w:r>
        <w:rPr>
          <w:rFonts w:hint="eastAsia"/>
          <w:sz w:val="24"/>
          <w:szCs w:val="24"/>
        </w:rPr>
        <w:fldChar w:fldCharType="end"/>
      </w:r>
    </w:p>
    <w:p w14:paraId="0C7F8B4F">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"_Toc176165879" </w:instrText>
      </w:r>
      <w:r>
        <w:fldChar w:fldCharType="separate"/>
      </w:r>
      <w:r>
        <w:rPr>
          <w:rStyle w:val="39"/>
          <w:rFonts w:hint="eastAsia" w:ascii="宋体" w:hAnsi="宋体"/>
          <w:b/>
          <w:sz w:val="24"/>
          <w:szCs w:val="24"/>
        </w:rPr>
        <w:t>六、</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监理工作开展的资金保障控制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_Toc176165879 \h</w:instrText>
      </w:r>
      <w:r>
        <w:rPr>
          <w:rFonts w:hint="eastAsia"/>
          <w:sz w:val="24"/>
          <w:szCs w:val="24"/>
        </w:rPr>
        <w:instrText xml:space="preserve"> </w:instrText>
      </w:r>
      <w:r>
        <w:rPr>
          <w:sz w:val="24"/>
          <w:szCs w:val="24"/>
        </w:rPr>
        <w:fldChar w:fldCharType="separate"/>
      </w:r>
      <w:r>
        <w:rPr>
          <w:sz w:val="24"/>
          <w:szCs w:val="24"/>
        </w:rPr>
        <w:t>6</w:t>
      </w:r>
      <w:r>
        <w:rPr>
          <w:rFonts w:hint="eastAsia"/>
          <w:sz w:val="24"/>
          <w:szCs w:val="24"/>
        </w:rPr>
        <w:fldChar w:fldCharType="end"/>
      </w:r>
      <w:r>
        <w:rPr>
          <w:rFonts w:hint="eastAsia"/>
          <w:sz w:val="24"/>
          <w:szCs w:val="24"/>
        </w:rPr>
        <w:fldChar w:fldCharType="end"/>
      </w:r>
    </w:p>
    <w:p w14:paraId="1410105F">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"_Toc176165880" </w:instrText>
      </w:r>
      <w:r>
        <w:fldChar w:fldCharType="separate"/>
      </w:r>
      <w:r>
        <w:rPr>
          <w:rStyle w:val="39"/>
          <w:rFonts w:hint="eastAsia" w:ascii="宋体" w:hAnsi="宋体"/>
          <w:b/>
          <w:sz w:val="24"/>
          <w:szCs w:val="24"/>
        </w:rPr>
        <w:t>七、</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现场监造人员的安全管理措施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_Toc176165880 \h</w:instrText>
      </w:r>
      <w:r>
        <w:rPr>
          <w:rFonts w:hint="eastAsia"/>
          <w:sz w:val="24"/>
          <w:szCs w:val="24"/>
        </w:rPr>
        <w:instrText xml:space="preserve"> </w:instrText>
      </w:r>
      <w:r>
        <w:rPr>
          <w:sz w:val="24"/>
          <w:szCs w:val="24"/>
        </w:rPr>
        <w:fldChar w:fldCharType="separate"/>
      </w:r>
      <w:r>
        <w:rPr>
          <w:sz w:val="24"/>
          <w:szCs w:val="24"/>
        </w:rPr>
        <w:t>7</w:t>
      </w:r>
      <w:r>
        <w:rPr>
          <w:rFonts w:hint="eastAsia"/>
          <w:sz w:val="24"/>
          <w:szCs w:val="24"/>
        </w:rPr>
        <w:fldChar w:fldCharType="end"/>
      </w:r>
      <w:r>
        <w:rPr>
          <w:rFonts w:hint="eastAsia"/>
          <w:sz w:val="24"/>
          <w:szCs w:val="24"/>
        </w:rPr>
        <w:fldChar w:fldCharType="end"/>
      </w:r>
    </w:p>
    <w:p w14:paraId="4750C89B">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"_Toc176165881" </w:instrText>
      </w:r>
      <w:r>
        <w:fldChar w:fldCharType="separate"/>
      </w:r>
      <w:r>
        <w:rPr>
          <w:rStyle w:val="39"/>
          <w:rFonts w:hint="eastAsia" w:ascii="宋体" w:hAnsi="宋体"/>
          <w:b/>
          <w:sz w:val="24"/>
          <w:szCs w:val="24"/>
        </w:rPr>
        <w:t>八、</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监理工作目标和标准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_Toc176165881 \h</w:instrText>
      </w:r>
      <w:r>
        <w:rPr>
          <w:rFonts w:hint="eastAsia"/>
          <w:sz w:val="24"/>
          <w:szCs w:val="24"/>
        </w:rPr>
        <w:instrText xml:space="preserve"> </w:instrText>
      </w:r>
      <w:r>
        <w:rPr>
          <w:sz w:val="24"/>
          <w:szCs w:val="24"/>
        </w:rPr>
        <w:fldChar w:fldCharType="separate"/>
      </w:r>
      <w:r>
        <w:rPr>
          <w:sz w:val="24"/>
          <w:szCs w:val="24"/>
        </w:rPr>
        <w:t>8</w:t>
      </w:r>
      <w:r>
        <w:rPr>
          <w:rFonts w:hint="eastAsia"/>
          <w:sz w:val="24"/>
          <w:szCs w:val="24"/>
        </w:rPr>
        <w:fldChar w:fldCharType="end"/>
      </w:r>
      <w:r>
        <w:rPr>
          <w:rFonts w:hint="eastAsia"/>
          <w:sz w:val="24"/>
          <w:szCs w:val="24"/>
        </w:rPr>
        <w:fldChar w:fldCharType="end"/>
      </w:r>
    </w:p>
    <w:p w14:paraId="012CAFB7">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"_Toc176165882" </w:instrText>
      </w:r>
      <w:r>
        <w:fldChar w:fldCharType="separate"/>
      </w:r>
      <w:r>
        <w:rPr>
          <w:rStyle w:val="39"/>
          <w:rFonts w:hint="eastAsia" w:ascii="宋体" w:hAnsi="宋体"/>
          <w:b/>
          <w:sz w:val="24"/>
          <w:szCs w:val="24"/>
        </w:rPr>
        <w:t>九、</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质量保证措施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_Toc176165882 \h</w:instrText>
      </w:r>
      <w:r>
        <w:rPr>
          <w:rFonts w:hint="eastAsia"/>
          <w:sz w:val="24"/>
          <w:szCs w:val="24"/>
        </w:rPr>
        <w:instrText xml:space="preserve"> </w:instrText>
      </w:r>
      <w:r>
        <w:rPr>
          <w:sz w:val="24"/>
          <w:szCs w:val="24"/>
        </w:rPr>
        <w:fldChar w:fldCharType="separate"/>
      </w:r>
      <w:r>
        <w:rPr>
          <w:sz w:val="24"/>
          <w:szCs w:val="24"/>
        </w:rPr>
        <w:t>9</w:t>
      </w:r>
      <w:r>
        <w:rPr>
          <w:rFonts w:hint="eastAsia"/>
          <w:sz w:val="24"/>
          <w:szCs w:val="24"/>
        </w:rPr>
        <w:fldChar w:fldCharType="end"/>
      </w:r>
      <w:r>
        <w:rPr>
          <w:rFonts w:hint="eastAsia"/>
          <w:sz w:val="24"/>
          <w:szCs w:val="24"/>
        </w:rPr>
        <w:fldChar w:fldCharType="end"/>
      </w:r>
    </w:p>
    <w:p w14:paraId="2A5DA4F2">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"_Toc176165883" </w:instrText>
      </w:r>
      <w:r>
        <w:fldChar w:fldCharType="separate"/>
      </w:r>
      <w:r>
        <w:rPr>
          <w:rStyle w:val="39"/>
          <w:rFonts w:hint="eastAsia" w:ascii="宋体" w:hAnsi="宋体"/>
          <w:b/>
          <w:sz w:val="24"/>
          <w:szCs w:val="24"/>
        </w:rPr>
        <w:t>十、</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处理质量异常的措施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_Toc176165883 \h</w:instrText>
      </w:r>
      <w:r>
        <w:rPr>
          <w:rFonts w:hint="eastAsia"/>
          <w:sz w:val="24"/>
          <w:szCs w:val="24"/>
        </w:rPr>
        <w:instrText xml:space="preserve"> </w:instrText>
      </w:r>
      <w:r>
        <w:rPr>
          <w:sz w:val="24"/>
          <w:szCs w:val="24"/>
        </w:rPr>
        <w:fldChar w:fldCharType="separate"/>
      </w:r>
      <w:r>
        <w:rPr>
          <w:sz w:val="24"/>
          <w:szCs w:val="24"/>
        </w:rPr>
        <w:t>10</w:t>
      </w:r>
      <w:r>
        <w:rPr>
          <w:rFonts w:hint="eastAsia"/>
          <w:sz w:val="24"/>
          <w:szCs w:val="24"/>
        </w:rPr>
        <w:fldChar w:fldCharType="end"/>
      </w:r>
      <w:r>
        <w:rPr>
          <w:rFonts w:hint="eastAsia"/>
          <w:sz w:val="24"/>
          <w:szCs w:val="24"/>
        </w:rPr>
        <w:fldChar w:fldCharType="end"/>
      </w:r>
    </w:p>
    <w:p w14:paraId="4923BD31">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"_Toc176165884" </w:instrText>
      </w:r>
      <w:r>
        <w:fldChar w:fldCharType="separate"/>
      </w:r>
      <w:r>
        <w:rPr>
          <w:rStyle w:val="39"/>
          <w:rFonts w:hint="eastAsia"/>
          <w:b/>
          <w:sz w:val="24"/>
          <w:szCs w:val="24"/>
        </w:rPr>
        <w:t>十一、</w:t>
      </w:r>
      <w:r>
        <w:rPr>
          <w:rFonts w:hint="eastAsia" w:asciiTheme="minorHAnsi" w:hAnsiTheme="minorHAnsi" w:eastAsiaTheme="minorEastAsia" w:cstheme="minorBidi"/>
          <w:bCs w:val="0"/>
          <w:caps w:val="0"/>
          <w:sz w:val="24"/>
          <w:szCs w:val="24"/>
          <w14:ligatures w14:val="standardContextual"/>
        </w:rPr>
        <w:tab/>
      </w:r>
      <w:r>
        <w:rPr>
          <w:rStyle w:val="39"/>
          <w:rFonts w:hint="eastAsia"/>
          <w:b/>
          <w:sz w:val="24"/>
          <w:szCs w:val="24"/>
        </w:rPr>
        <w:t>监理工作要点</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_Toc176165884 \h</w:instrText>
      </w:r>
      <w:r>
        <w:rPr>
          <w:rFonts w:hint="eastAsia"/>
          <w:sz w:val="24"/>
          <w:szCs w:val="24"/>
        </w:rPr>
        <w:instrText xml:space="preserve"> </w:instrText>
      </w:r>
      <w:r>
        <w:rPr>
          <w:sz w:val="24"/>
          <w:szCs w:val="24"/>
        </w:rPr>
        <w:fldChar w:fldCharType="separate"/>
      </w:r>
      <w:r>
        <w:rPr>
          <w:sz w:val="24"/>
          <w:szCs w:val="24"/>
        </w:rPr>
        <w:t>11</w:t>
      </w:r>
      <w:r>
        <w:rPr>
          <w:rFonts w:hint="eastAsia"/>
          <w:sz w:val="24"/>
          <w:szCs w:val="24"/>
        </w:rPr>
        <w:fldChar w:fldCharType="end"/>
      </w:r>
      <w:r>
        <w:rPr>
          <w:rFonts w:hint="eastAsia"/>
          <w:sz w:val="24"/>
          <w:szCs w:val="24"/>
        </w:rPr>
        <w:fldChar w:fldCharType="end"/>
      </w:r>
    </w:p>
    <w:p w14:paraId="78DDE681">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"_Toc176165899" </w:instrText>
      </w:r>
      <w:r>
        <w:fldChar w:fldCharType="separate"/>
      </w:r>
      <w:r>
        <w:rPr>
          <w:rStyle w:val="39"/>
          <w:rFonts w:hint="eastAsia" w:ascii="宋体" w:hAnsi="宋体"/>
          <w:b/>
          <w:sz w:val="24"/>
          <w:szCs w:val="24"/>
        </w:rPr>
        <w:t>十二、</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监理记录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_Toc176165899 \h</w:instrText>
      </w:r>
      <w:r>
        <w:rPr>
          <w:rFonts w:hint="eastAsia"/>
          <w:sz w:val="24"/>
          <w:szCs w:val="24"/>
        </w:rPr>
        <w:instrText xml:space="preserve"> </w:instrText>
      </w:r>
      <w:r>
        <w:rPr>
          <w:sz w:val="24"/>
          <w:szCs w:val="24"/>
        </w:rPr>
        <w:fldChar w:fldCharType="separate"/>
      </w:r>
      <w:r>
        <w:rPr>
          <w:sz w:val="24"/>
          <w:szCs w:val="24"/>
        </w:rPr>
        <w:t>16</w:t>
      </w:r>
      <w:r>
        <w:rPr>
          <w:rFonts w:hint="eastAsia"/>
          <w:sz w:val="24"/>
          <w:szCs w:val="24"/>
        </w:rPr>
        <w:fldChar w:fldCharType="end"/>
      </w:r>
      <w:r>
        <w:rPr>
          <w:rFonts w:hint="eastAsia"/>
          <w:sz w:val="24"/>
          <w:szCs w:val="24"/>
        </w:rPr>
        <w:fldChar w:fldCharType="end"/>
      </w:r>
    </w:p>
    <w:p w14:paraId="73E0D8F3">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"_Toc176165900" </w:instrText>
      </w:r>
      <w:r>
        <w:fldChar w:fldCharType="separate"/>
      </w:r>
      <w:r>
        <w:rPr>
          <w:rStyle w:val="39"/>
          <w:rFonts w:hint="eastAsia" w:ascii="宋体" w:hAnsi="宋体"/>
          <w:b/>
          <w:sz w:val="24"/>
          <w:szCs w:val="24"/>
        </w:rPr>
        <w:t>十三、</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监理周报、周例会、监理放行单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_Toc176165900 \h</w:instrText>
      </w:r>
      <w:r>
        <w:rPr>
          <w:rFonts w:hint="eastAsia"/>
          <w:sz w:val="24"/>
          <w:szCs w:val="24"/>
        </w:rPr>
        <w:instrText xml:space="preserve"> </w:instrText>
      </w:r>
      <w:r>
        <w:rPr>
          <w:sz w:val="24"/>
          <w:szCs w:val="24"/>
        </w:rPr>
        <w:fldChar w:fldCharType="separate"/>
      </w:r>
      <w:r>
        <w:rPr>
          <w:sz w:val="24"/>
          <w:szCs w:val="24"/>
        </w:rPr>
        <w:t>16</w:t>
      </w:r>
      <w:r>
        <w:rPr>
          <w:rFonts w:hint="eastAsia"/>
          <w:sz w:val="24"/>
          <w:szCs w:val="24"/>
        </w:rPr>
        <w:fldChar w:fldCharType="end"/>
      </w:r>
      <w:r>
        <w:rPr>
          <w:rFonts w:hint="eastAsia"/>
          <w:sz w:val="24"/>
          <w:szCs w:val="24"/>
        </w:rPr>
        <w:fldChar w:fldCharType="end"/>
      </w:r>
    </w:p>
    <w:p w14:paraId="13EFC64F">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"_Toc176165901" </w:instrText>
      </w:r>
      <w:r>
        <w:fldChar w:fldCharType="separate"/>
      </w:r>
      <w:r>
        <w:rPr>
          <w:rStyle w:val="39"/>
          <w:rFonts w:hint="eastAsia" w:ascii="宋体" w:hAnsi="宋体"/>
          <w:b/>
          <w:sz w:val="24"/>
          <w:szCs w:val="24"/>
        </w:rPr>
        <w:t>十四、</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最终监理资料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_Toc176165901 \h</w:instrText>
      </w:r>
      <w:r>
        <w:rPr>
          <w:rFonts w:hint="eastAsia"/>
          <w:sz w:val="24"/>
          <w:szCs w:val="24"/>
        </w:rPr>
        <w:instrText xml:space="preserve"> </w:instrText>
      </w:r>
      <w:r>
        <w:rPr>
          <w:sz w:val="24"/>
          <w:szCs w:val="24"/>
        </w:rPr>
        <w:fldChar w:fldCharType="separate"/>
      </w:r>
      <w:r>
        <w:rPr>
          <w:sz w:val="24"/>
          <w:szCs w:val="24"/>
        </w:rPr>
        <w:t>16</w:t>
      </w:r>
      <w:r>
        <w:rPr>
          <w:rFonts w:hint="eastAsia"/>
          <w:sz w:val="24"/>
          <w:szCs w:val="24"/>
        </w:rPr>
        <w:fldChar w:fldCharType="end"/>
      </w:r>
      <w:r>
        <w:rPr>
          <w:rFonts w:hint="eastAsia"/>
          <w:sz w:val="24"/>
          <w:szCs w:val="24"/>
        </w:rPr>
        <w:fldChar w:fldCharType="end"/>
      </w:r>
    </w:p>
    <w:p w14:paraId="70978B0E">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"_Toc176165902" </w:instrText>
      </w:r>
      <w:r>
        <w:fldChar w:fldCharType="separate"/>
      </w:r>
      <w:r>
        <w:rPr>
          <w:rStyle w:val="39"/>
          <w:rFonts w:hint="eastAsia" w:ascii="宋体" w:hAnsi="宋体"/>
          <w:b/>
          <w:sz w:val="24"/>
          <w:szCs w:val="24"/>
        </w:rPr>
        <w:t>十五、</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进度控制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_Toc176165902 \h</w:instrText>
      </w:r>
      <w:r>
        <w:rPr>
          <w:rFonts w:hint="eastAsia"/>
          <w:sz w:val="24"/>
          <w:szCs w:val="24"/>
        </w:rPr>
        <w:instrText xml:space="preserve"> </w:instrText>
      </w:r>
      <w:r>
        <w:rPr>
          <w:sz w:val="24"/>
          <w:szCs w:val="24"/>
        </w:rPr>
        <w:fldChar w:fldCharType="separate"/>
      </w:r>
      <w:r>
        <w:rPr>
          <w:sz w:val="24"/>
          <w:szCs w:val="24"/>
        </w:rPr>
        <w:t>17</w:t>
      </w:r>
      <w:r>
        <w:rPr>
          <w:rFonts w:hint="eastAsia"/>
          <w:sz w:val="24"/>
          <w:szCs w:val="24"/>
        </w:rPr>
        <w:fldChar w:fldCharType="end"/>
      </w:r>
      <w:r>
        <w:rPr>
          <w:rFonts w:hint="eastAsia"/>
          <w:sz w:val="24"/>
          <w:szCs w:val="24"/>
        </w:rPr>
        <w:fldChar w:fldCharType="end"/>
      </w:r>
    </w:p>
    <w:p w14:paraId="00BE876F">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"_Toc176165903" </w:instrText>
      </w:r>
      <w:r>
        <w:fldChar w:fldCharType="separate"/>
      </w:r>
      <w:r>
        <w:rPr>
          <w:rStyle w:val="39"/>
          <w:rFonts w:hint="eastAsia" w:ascii="宋体" w:hAnsi="宋体"/>
          <w:b/>
          <w:sz w:val="24"/>
          <w:szCs w:val="24"/>
        </w:rPr>
        <w:t>十六、</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合同管理、信息管理及组织协调</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_Toc176165903 \h</w:instrText>
      </w:r>
      <w:r>
        <w:rPr>
          <w:rFonts w:hint="eastAsia"/>
          <w:sz w:val="24"/>
          <w:szCs w:val="24"/>
        </w:rPr>
        <w:instrText xml:space="preserve"> </w:instrText>
      </w:r>
      <w:r>
        <w:rPr>
          <w:sz w:val="24"/>
          <w:szCs w:val="24"/>
        </w:rPr>
        <w:fldChar w:fldCharType="separate"/>
      </w:r>
      <w:r>
        <w:rPr>
          <w:sz w:val="24"/>
          <w:szCs w:val="24"/>
        </w:rPr>
        <w:t>17</w:t>
      </w:r>
      <w:r>
        <w:rPr>
          <w:rFonts w:hint="eastAsia"/>
          <w:sz w:val="24"/>
          <w:szCs w:val="24"/>
        </w:rPr>
        <w:fldChar w:fldCharType="end"/>
      </w:r>
      <w:r>
        <w:rPr>
          <w:rFonts w:hint="eastAsia"/>
          <w:sz w:val="24"/>
          <w:szCs w:val="24"/>
        </w:rPr>
        <w:fldChar w:fldCharType="end"/>
      </w:r>
    </w:p>
    <w:p w14:paraId="285E5DCE">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"_Toc176165904" </w:instrText>
      </w:r>
      <w:r>
        <w:fldChar w:fldCharType="separate"/>
      </w:r>
      <w:r>
        <w:rPr>
          <w:rStyle w:val="39"/>
          <w:rFonts w:hint="eastAsia" w:ascii="宋体" w:hAnsi="宋体"/>
          <w:b/>
          <w:sz w:val="24"/>
          <w:szCs w:val="24"/>
        </w:rPr>
        <w:t>十七、</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环境、安全控制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_Toc176165904 \h</w:instrText>
      </w:r>
      <w:r>
        <w:rPr>
          <w:rFonts w:hint="eastAsia"/>
          <w:sz w:val="24"/>
          <w:szCs w:val="24"/>
        </w:rPr>
        <w:instrText xml:space="preserve"> </w:instrText>
      </w:r>
      <w:r>
        <w:rPr>
          <w:sz w:val="24"/>
          <w:szCs w:val="24"/>
        </w:rPr>
        <w:fldChar w:fldCharType="separate"/>
      </w:r>
      <w:r>
        <w:rPr>
          <w:sz w:val="24"/>
          <w:szCs w:val="24"/>
        </w:rPr>
        <w:t>18</w:t>
      </w:r>
      <w:r>
        <w:rPr>
          <w:rFonts w:hint="eastAsia"/>
          <w:sz w:val="24"/>
          <w:szCs w:val="24"/>
        </w:rPr>
        <w:fldChar w:fldCharType="end"/>
      </w:r>
      <w:r>
        <w:rPr>
          <w:rFonts w:hint="eastAsia"/>
          <w:sz w:val="24"/>
          <w:szCs w:val="24"/>
        </w:rPr>
        <w:fldChar w:fldCharType="end"/>
      </w:r>
    </w:p>
    <w:p w14:paraId="47416F52">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"_Toc176165905" </w:instrText>
      </w:r>
      <w:r>
        <w:fldChar w:fldCharType="separate"/>
      </w:r>
      <w:r>
        <w:rPr>
          <w:rStyle w:val="39"/>
          <w:rFonts w:hint="eastAsia" w:ascii="宋体" w:hAnsi="宋体"/>
          <w:b/>
          <w:sz w:val="24"/>
          <w:szCs w:val="24"/>
        </w:rPr>
        <w:t>十八、</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售后服务措施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_Toc176165905 \h</w:instrText>
      </w:r>
      <w:r>
        <w:rPr>
          <w:rFonts w:hint="eastAsia"/>
          <w:sz w:val="24"/>
          <w:szCs w:val="24"/>
        </w:rPr>
        <w:instrText xml:space="preserve"> </w:instrText>
      </w:r>
      <w:r>
        <w:rPr>
          <w:sz w:val="24"/>
          <w:szCs w:val="24"/>
        </w:rPr>
        <w:fldChar w:fldCharType="separate"/>
      </w:r>
      <w:r>
        <w:rPr>
          <w:sz w:val="24"/>
          <w:szCs w:val="24"/>
        </w:rPr>
        <w:t>19</w:t>
      </w:r>
      <w:r>
        <w:rPr>
          <w:rFonts w:hint="eastAsia"/>
          <w:sz w:val="24"/>
          <w:szCs w:val="24"/>
        </w:rPr>
        <w:fldChar w:fldCharType="end"/>
      </w:r>
      <w:r>
        <w:rPr>
          <w:rFonts w:hint="eastAsia"/>
          <w:sz w:val="24"/>
          <w:szCs w:val="24"/>
        </w:rPr>
        <w:fldChar w:fldCharType="end"/>
      </w:r>
    </w:p>
    <w:p w14:paraId="345866B5">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"_Toc176165906" </w:instrText>
      </w:r>
      <w:r>
        <w:fldChar w:fldCharType="separate"/>
      </w:r>
      <w:r>
        <w:rPr>
          <w:rStyle w:val="39"/>
          <w:rFonts w:hint="eastAsia" w:ascii="宋体" w:hAnsi="宋体"/>
          <w:b/>
          <w:sz w:val="24"/>
          <w:szCs w:val="24"/>
        </w:rPr>
        <w:t>十九、</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监理控制点类型</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_Toc176165906 \h</w:instrText>
      </w:r>
      <w:r>
        <w:rPr>
          <w:rFonts w:hint="eastAsia"/>
          <w:sz w:val="24"/>
          <w:szCs w:val="24"/>
        </w:rPr>
        <w:instrText xml:space="preserve"> </w:instrText>
      </w:r>
      <w:r>
        <w:rPr>
          <w:sz w:val="24"/>
          <w:szCs w:val="24"/>
        </w:rPr>
        <w:fldChar w:fldCharType="separate"/>
      </w:r>
      <w:r>
        <w:rPr>
          <w:sz w:val="24"/>
          <w:szCs w:val="24"/>
        </w:rPr>
        <w:t>20</w:t>
      </w:r>
      <w:r>
        <w:rPr>
          <w:rFonts w:hint="eastAsia"/>
          <w:sz w:val="24"/>
          <w:szCs w:val="24"/>
        </w:rPr>
        <w:fldChar w:fldCharType="end"/>
      </w:r>
      <w:r>
        <w:rPr>
          <w:rFonts w:hint="eastAsia"/>
          <w:sz w:val="24"/>
          <w:szCs w:val="24"/>
        </w:rPr>
        <w:fldChar w:fldCharType="end"/>
      </w:r>
    </w:p>
    <w:p w14:paraId="3E68FBAE">
      <w:pPr>
        <w:pStyle w:val="25"/>
        <w:tabs>
          <w:tab w:val="left" w:pos="842"/>
          <w:tab w:val="right" w:leader="dot" w:pos="9344"/>
        </w:tabs>
        <w:spacing w:before="156" w:beforeLines="50" w:after="156" w:afterLines="50"/>
        <w:rPr>
          <w:rStyle w:val="39"/>
          <w:sz w:val="24"/>
          <w:szCs w:val="24"/>
        </w:rPr>
      </w:pPr>
      <w:r>
        <w:fldChar w:fldCharType="begin"/>
      </w:r>
      <w:r>
        <w:instrText xml:space="preserve"> HYPERLINK \l "_Toc176165907" </w:instrText>
      </w:r>
      <w:r>
        <w:fldChar w:fldCharType="separate"/>
      </w:r>
      <w:r>
        <w:rPr>
          <w:rStyle w:val="39"/>
          <w:rFonts w:hint="eastAsia"/>
          <w:b/>
          <w:sz w:val="24"/>
          <w:szCs w:val="24"/>
        </w:rPr>
        <w:t>二十、</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监造检试验计划</w:t>
      </w:r>
      <w:r>
        <w:rPr>
          <w:rStyle w:val="39"/>
          <w:rFonts w:hint="eastAsia"/>
          <w:sz w:val="24"/>
          <w:szCs w:val="24"/>
        </w:rPr>
        <w:t>（详见下表）</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_Toc176165907 \h</w:instrText>
      </w:r>
      <w:r>
        <w:rPr>
          <w:rFonts w:hint="eastAsia"/>
          <w:sz w:val="24"/>
          <w:szCs w:val="24"/>
        </w:rPr>
        <w:instrText xml:space="preserve"> </w:instrText>
      </w:r>
      <w:r>
        <w:rPr>
          <w:sz w:val="24"/>
          <w:szCs w:val="24"/>
        </w:rPr>
        <w:fldChar w:fldCharType="separate"/>
      </w:r>
      <w:r>
        <w:rPr>
          <w:sz w:val="24"/>
          <w:szCs w:val="24"/>
        </w:rPr>
        <w:t>20</w:t>
      </w:r>
      <w:r>
        <w:rPr>
          <w:rFonts w:hint="eastAsia"/>
          <w:sz w:val="24"/>
          <w:szCs w:val="24"/>
        </w:rPr>
        <w:fldChar w:fldCharType="end"/>
      </w:r>
      <w:r>
        <w:rPr>
          <w:rFonts w:hint="eastAsia"/>
          <w:sz w:val="24"/>
          <w:szCs w:val="24"/>
        </w:rPr>
        <w:fldChar w:fldCharType="end"/>
      </w:r>
    </w:p>
    <w:p w14:paraId="5C4A194A">
      <w:pPr>
        <w:pStyle w:val="2"/>
        <w:spacing w:before="156" w:beforeLines="50" w:after="156" w:afterLines="50"/>
        <w:rPr>
          <w:sz w:val="24"/>
        </w:rPr>
      </w:pPr>
      <w:r>
        <w:rPr>
          <w:rStyle w:val="39"/>
          <w:sz w:val="24"/>
        </w:rPr>
        <w:br w:type="page"/>
      </w:r>
    </w:p>
    <w:p w14:paraId="06DFBE80">
      <w:pPr>
        <w:pStyle w:val="60"/>
        <w:numPr>
          <w:ilvl w:val="0"/>
          <w:numId w:val="1"/>
        </w:numPr>
        <w:spacing w:before="156" w:beforeLines="50" w:after="156" w:afterLines="50" w:line="360" w:lineRule="auto"/>
        <w:ind w:firstLineChars="0"/>
        <w:outlineLvl w:val="0"/>
        <w:rPr>
          <w:b/>
          <w:sz w:val="24"/>
        </w:rPr>
      </w:pPr>
      <w:r>
        <w:rPr>
          <w:szCs w:val="21"/>
        </w:rPr>
        <w:t>编制说明</w:t>
      </w:r>
    </w:p>
    <w:p w14:paraId="509BE175">
      <w:pPr>
        <w:spacing w:line="560" w:lineRule="exact"/>
        <w:ind w:firstLine="482" w:firstLineChars="200"/>
        <w:rPr>
          <w:b/>
          <w:bCs/>
          <w:sz w:val="24"/>
        </w:rPr>
      </w:pPr>
      <w:r>
        <w:rPr>
          <w:b/>
          <w:bCs/>
          <w:sz w:val="24"/>
        </w:rPr>
        <w:t>本项目为1100万吨/年炼油和高端新材料项目2#50万吨/年聚丙烯装置，监造设备为循环气冷凝器E-310/E-320共2台。设备规格~DN2700 ×8351，壳程材质S31603+09MnNiDR，管程Q345R，管板09MnNiD+S31603堆焊，换热管S31603。监造范围为江苏中圣压力容器装备制造有限公司驻厂全过程质量控制。</w:t>
      </w:r>
    </w:p>
    <w:p w14:paraId="509BE175">
      <w:pPr>
        <w:spacing w:line="560" w:lineRule="exact"/>
        <w:ind w:firstLine="482" w:firstLineChars="200"/>
        <w:rPr>
          <w:b/>
          <w:bCs/>
          <w:sz w:val="24"/>
        </w:rPr>
      </w:pPr>
      <w:r>
        <w:rPr>
          <w:b/>
          <w:bCs/>
          <w:sz w:val="24"/>
        </w:rPr>
        <w:t>主要控制风险包括：管板双侧堆焊质量与稀释率控制、U型管弯制减薄率与恢复性能热处理（r≤115mm）、换热管与管板连接（焊接/胀接）密封性、大直径壳体组焊变形控制、水压试验后壳程氮封保压（0.05MPaG，露点-30℃）及运输防护。买方为镇海炼化，设计方为SEI，卖方为江苏中圣。</w:t>
      </w:r>
    </w:p>
    <w:p w14:paraId="509BE175">
      <w:pPr>
        <w:spacing w:line="560" w:lineRule="exact"/>
        <w:ind w:firstLine="482" w:firstLineChars="200"/>
        <w:rPr>
          <w:b/>
          <w:bCs/>
          <w:sz w:val="24"/>
        </w:rPr>
      </w:pPr>
      <w:r>
        <w:rPr>
          <w:b/>
          <w:bCs/>
          <w:sz w:val="24"/>
        </w:rPr>
        <w:t>本大纲依据技术协议、批准图纸及TSG/GB/NB系列标准编制，重点强化制造过程参数控制、无损检测比例落实、关键节点H/W/R/S设置及竣工资料闭环管理，确保设备满足20年预期使用年限及性能保证要求。</w:t>
      </w:r>
    </w:p>
    <w:tbl>
      <w:tblPr>
        <w:tblStyle w:val="33"/>
        <w:tblW w:w="946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5"/>
        <w:gridCol w:w="2272"/>
        <w:gridCol w:w="1802"/>
        <w:gridCol w:w="1774"/>
        <w:gridCol w:w="996"/>
        <w:gridCol w:w="1378"/>
        <w:gridCol w:w="567"/>
      </w:tblGrid>
      <w:tr w14:paraId="24E52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trPr>
        <w:tc>
          <w:tcPr>
            <w:tcW w:w="675" w:type="dxa"/>
            <w:vAlign w:val="center"/>
          </w:tcPr>
          <w:p>
            <w:r>
              <w:rPr>
                <w:rFonts w:ascii="宋体" w:hAnsi="宋体" w:eastAsia="宋体"/>
                <w:sz w:val="21"/>
              </w:rPr>
              <w:t>序号</w:t>
            </w:r>
          </w:p>
        </w:tc>
        <w:tc>
          <w:tcPr>
            <w:tcW w:w="2272" w:type="dxa"/>
            <w:vAlign w:val="center"/>
          </w:tcPr>
          <w:p>
            <w:r>
              <w:rPr>
                <w:rFonts w:ascii="宋体" w:hAnsi="宋体" w:eastAsia="宋体"/>
                <w:sz w:val="21"/>
              </w:rPr>
              <w:t>设备名称</w:t>
            </w:r>
          </w:p>
        </w:tc>
        <w:tc>
          <w:tcPr>
            <w:tcW w:w="1802" w:type="dxa"/>
            <w:vAlign w:val="center"/>
          </w:tcPr>
          <w:p>
            <w:r>
              <w:rPr>
                <w:rFonts w:ascii="宋体" w:hAnsi="宋体" w:eastAsia="宋体"/>
                <w:sz w:val="21"/>
              </w:rPr>
              <w:t>位号</w:t>
            </w:r>
          </w:p>
        </w:tc>
        <w:tc>
          <w:tcPr>
            <w:tcW w:w="1774" w:type="dxa"/>
            <w:vAlign w:val="center"/>
          </w:tcPr>
          <w:p>
            <w:r>
              <w:rPr>
                <w:rFonts w:ascii="宋体" w:hAnsi="宋体" w:eastAsia="宋体"/>
                <w:sz w:val="21"/>
              </w:rPr>
              <w:t>主体材质</w:t>
            </w:r>
          </w:p>
        </w:tc>
        <w:tc>
          <w:tcPr>
            <w:tcW w:w="996" w:type="dxa"/>
            <w:vAlign w:val="center"/>
          </w:tcPr>
          <w:p>
            <w:r>
              <w:rPr>
                <w:rFonts w:ascii="宋体" w:hAnsi="宋体" w:eastAsia="宋体"/>
                <w:sz w:val="21"/>
              </w:rPr>
              <w:t>数量</w:t>
            </w:r>
          </w:p>
        </w:tc>
        <w:tc>
          <w:tcPr>
            <w:tcW w:w="1378" w:type="dxa"/>
            <w:vAlign w:val="center"/>
          </w:tcPr>
          <w:p>
            <w:r>
              <w:rPr>
                <w:rFonts w:ascii="宋体" w:hAnsi="宋体" w:eastAsia="宋体"/>
                <w:sz w:val="21"/>
              </w:rPr>
              <w:t>规格型号</w:t>
            </w:r>
          </w:p>
        </w:tc>
        <w:tc>
          <w:tcPr>
            <w:tcW w:w="567" w:type="dxa"/>
            <w:vAlign w:val="center"/>
          </w:tcPr>
          <w:p>
            <w:r>
              <w:rPr>
                <w:rFonts w:ascii="宋体" w:hAnsi="宋体" w:eastAsia="宋体"/>
                <w:sz w:val="21"/>
              </w:rPr>
              <w:t>备注</w:t>
            </w:r>
          </w:p>
        </w:tc>
      </w:tr>
      <w:tr w14:paraId="799AB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675" w:type="dxa"/>
            <w:vAlign w:val="center"/>
          </w:tcPr>
          <w:p>
            <w:r>
              <w:rPr>
                <w:rFonts w:ascii="宋体" w:hAnsi="宋体" w:eastAsia="宋体"/>
                <w:sz w:val="21"/>
              </w:rPr>
              <w:t>1</w:t>
            </w:r>
          </w:p>
        </w:tc>
        <w:tc>
          <w:tcPr>
            <w:tcW w:w="2272" w:type="dxa"/>
            <w:vAlign w:val="center"/>
          </w:tcPr>
          <w:p>
            <w:r>
              <w:rPr>
                <w:rFonts w:ascii="宋体" w:hAnsi="宋体" w:eastAsia="宋体"/>
                <w:sz w:val="21"/>
              </w:rPr>
              <w:t>循环气冷凝器</w:t>
            </w:r>
          </w:p>
        </w:tc>
        <w:tc>
          <w:tcPr>
            <w:tcW w:w="1802" w:type="dxa"/>
            <w:vAlign w:val="center"/>
          </w:tcPr>
          <w:p>
            <w:r>
              <w:rPr>
                <w:rFonts w:ascii="宋体" w:hAnsi="宋体" w:eastAsia="宋体"/>
                <w:sz w:val="21"/>
              </w:rPr>
              <w:t>E-310</w:t>
            </w:r>
          </w:p>
        </w:tc>
        <w:tc>
          <w:tcPr>
            <w:tcW w:w="1774" w:type="dxa"/>
            <w:vAlign w:val="center"/>
          </w:tcPr>
          <w:p>
            <w:r>
              <w:rPr>
                <w:rFonts w:ascii="宋体" w:hAnsi="宋体" w:eastAsia="宋体"/>
                <w:sz w:val="21"/>
              </w:rPr>
              <w:t>壳程:S31603+09MnNiDR/管程:Q345R/管板:09MnNiD+S31603堆焊/换热管:S31603</w:t>
            </w:r>
          </w:p>
        </w:tc>
        <w:tc>
          <w:tcPr>
            <w:tcW w:w="996" w:type="dxa"/>
            <w:vAlign w:val="center"/>
          </w:tcPr>
          <w:p>
            <w:r>
              <w:rPr>
                <w:rFonts w:ascii="宋体" w:hAnsi="宋体" w:eastAsia="宋体"/>
                <w:sz w:val="21"/>
              </w:rPr>
              <w:t>1</w:t>
            </w:r>
          </w:p>
        </w:tc>
        <w:tc>
          <w:tcPr>
            <w:tcW w:w="1378" w:type="dxa"/>
            <w:vAlign w:val="center"/>
          </w:tcPr>
          <w:p>
            <w:r>
              <w:rPr>
                <w:rFonts w:ascii="宋体" w:hAnsi="宋体" w:eastAsia="宋体"/>
                <w:sz w:val="21"/>
              </w:rPr>
              <w:t>~DN2700 ×8351</w:t>
            </w:r>
          </w:p>
        </w:tc>
        <w:tc>
          <w:tcPr>
            <w:tcW w:w="567" w:type="dxa"/>
            <w:vAlign w:val="center"/>
          </w:tcPr>
          <w:p>
            <w:r>
              <w:rPr>
                <w:rFonts w:ascii="宋体" w:hAnsi="宋体" w:eastAsia="宋体"/>
                <w:sz w:val="21"/>
              </w:rPr>
              <w:t>U型管直管段长度不包含插入管板部分</w:t>
            </w:r>
          </w:p>
        </w:tc>
      </w:tr>
      <w:tr w14:paraId="799AB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675" w:type="dxa"/>
            <w:vAlign w:val="center"/>
          </w:tcPr>
          <w:p>
            <w:r>
              <w:rPr>
                <w:rFonts w:ascii="宋体" w:hAnsi="宋体" w:eastAsia="宋体"/>
                <w:sz w:val="21"/>
              </w:rPr>
              <w:t>2</w:t>
            </w:r>
          </w:p>
        </w:tc>
        <w:tc>
          <w:tcPr>
            <w:tcW w:w="2272" w:type="dxa"/>
            <w:vAlign w:val="center"/>
          </w:tcPr>
          <w:p>
            <w:r>
              <w:rPr>
                <w:rFonts w:ascii="宋体" w:hAnsi="宋体" w:eastAsia="宋体"/>
                <w:sz w:val="21"/>
              </w:rPr>
              <w:t>循环气冷凝器</w:t>
            </w:r>
          </w:p>
        </w:tc>
        <w:tc>
          <w:tcPr>
            <w:tcW w:w="1802" w:type="dxa"/>
            <w:vAlign w:val="center"/>
          </w:tcPr>
          <w:p>
            <w:r>
              <w:rPr>
                <w:rFonts w:ascii="宋体" w:hAnsi="宋体" w:eastAsia="宋体"/>
                <w:sz w:val="21"/>
              </w:rPr>
              <w:t>E-320</w:t>
            </w:r>
          </w:p>
        </w:tc>
        <w:tc>
          <w:tcPr>
            <w:tcW w:w="1774" w:type="dxa"/>
            <w:vAlign w:val="center"/>
          </w:tcPr>
          <w:p>
            <w:r>
              <w:rPr>
                <w:rFonts w:ascii="宋体" w:hAnsi="宋体" w:eastAsia="宋体"/>
                <w:sz w:val="21"/>
              </w:rPr>
              <w:t>壳程:S31603+09MnNiDR/管程:Q345R/管板:09MnNiD+S31603堆焊/换热管:S31603</w:t>
            </w:r>
          </w:p>
        </w:tc>
        <w:tc>
          <w:tcPr>
            <w:tcW w:w="996" w:type="dxa"/>
            <w:vAlign w:val="center"/>
          </w:tcPr>
          <w:p>
            <w:r>
              <w:rPr>
                <w:rFonts w:ascii="宋体" w:hAnsi="宋体" w:eastAsia="宋体"/>
                <w:sz w:val="21"/>
              </w:rPr>
              <w:t>1</w:t>
            </w:r>
          </w:p>
        </w:tc>
        <w:tc>
          <w:tcPr>
            <w:tcW w:w="1378" w:type="dxa"/>
            <w:vAlign w:val="center"/>
          </w:tcPr>
          <w:p>
            <w:r>
              <w:rPr>
                <w:rFonts w:ascii="宋体" w:hAnsi="宋体" w:eastAsia="宋体"/>
                <w:sz w:val="21"/>
              </w:rPr>
              <w:t>~DN2700 ×8351</w:t>
            </w:r>
          </w:p>
        </w:tc>
        <w:tc>
          <w:tcPr>
            <w:tcW w:w="567" w:type="dxa"/>
            <w:vAlign w:val="center"/>
          </w:tcPr>
          <w:p>
            <w:r>
              <w:rPr>
                <w:rFonts w:ascii="宋体" w:hAnsi="宋体" w:eastAsia="宋体"/>
                <w:sz w:val="21"/>
              </w:rPr>
              <w:t>U型管直管段长度不包含插入管板部分</w:t>
            </w:r>
          </w:p>
        </w:tc>
      </w:tr>
    </w:tbl>
    <w:p w14:paraId="44B5838A">
      <w:pPr>
        <w:pStyle w:val="60"/>
        <w:numPr>
          <w:ilvl w:val="0"/>
          <w:numId w:val="1"/>
        </w:numPr>
        <w:spacing w:before="156" w:beforeLines="50" w:after="156" w:afterLines="50" w:line="360" w:lineRule="auto"/>
        <w:ind w:firstLineChars="0"/>
        <w:outlineLvl w:val="0"/>
        <w:rPr>
          <w:b/>
          <w:sz w:val="24"/>
        </w:rPr>
      </w:pPr>
      <w:r>
        <w:rPr>
          <w:b/>
          <w:sz w:val="24"/>
        </w:rPr>
        <w:t>监理工作依据</w:t>
      </w:r>
    </w:p>
    <w:p w14:paraId="02840CC5">
      <w:pPr>
        <w:pStyle w:val="60"/>
        <w:numPr>
          <w:ilvl w:val="0"/>
          <w:numId w:val="2"/>
        </w:numPr>
        <w:spacing w:before="50" w:line="360" w:lineRule="auto"/>
        <w:ind w:firstLine="6" w:firstLineChars="0"/>
        <w:rPr>
          <w:rFonts w:eastAsiaTheme="minorEastAsia"/>
          <w:sz w:val="24"/>
        </w:rPr>
      </w:pPr>
      <w:r>
        <w:rPr>
          <w:rFonts w:hint="eastAsia"/>
          <w:sz w:val="24"/>
        </w:rPr>
        <w:t>1. 甲方与制造单位所签订货合同的技术附件；</w:t>
      </w:r>
    </w:p>
    <w:p w14:paraId="02840CC5">
      <w:pPr>
        <w:pStyle w:val="60"/>
        <w:numPr>
          <w:ilvl w:val="0"/>
          <w:numId w:val="2"/>
        </w:numPr>
        <w:spacing w:before="50" w:line="360" w:lineRule="auto"/>
        <w:ind w:firstLine="6" w:firstLineChars="0"/>
        <w:rPr>
          <w:rFonts w:eastAsiaTheme="minorEastAsia"/>
          <w:sz w:val="24"/>
        </w:rPr>
      </w:pPr>
      <w:r>
        <w:rPr>
          <w:rFonts w:hint="eastAsia"/>
          <w:sz w:val="24"/>
        </w:rPr>
        <w:t>2. 设计图纸；</w:t>
      </w:r>
    </w:p>
    <w:p w14:paraId="02840CC5">
      <w:pPr>
        <w:pStyle w:val="60"/>
        <w:numPr>
          <w:ilvl w:val="0"/>
          <w:numId w:val="2"/>
        </w:numPr>
        <w:spacing w:before="50" w:line="360" w:lineRule="auto"/>
        <w:ind w:firstLine="6" w:firstLineChars="0"/>
        <w:rPr>
          <w:rFonts w:eastAsiaTheme="minorEastAsia"/>
          <w:sz w:val="24"/>
        </w:rPr>
      </w:pPr>
      <w:r>
        <w:rPr>
          <w:rFonts w:hint="eastAsia"/>
          <w:sz w:val="24"/>
        </w:rPr>
        <w:t>3. 甲、乙双方来往有效的传真、会议纪要；</w:t>
      </w:r>
    </w:p>
    <w:p w14:paraId="02840CC5">
      <w:pPr>
        <w:pStyle w:val="60"/>
        <w:numPr>
          <w:ilvl w:val="0"/>
          <w:numId w:val="2"/>
        </w:numPr>
        <w:spacing w:before="50" w:line="360" w:lineRule="auto"/>
        <w:ind w:firstLine="6" w:firstLineChars="0"/>
        <w:rPr>
          <w:rFonts w:eastAsiaTheme="minorEastAsia"/>
          <w:sz w:val="24"/>
        </w:rPr>
      </w:pPr>
      <w:r>
        <w:rPr>
          <w:rFonts w:hint="eastAsia"/>
          <w:sz w:val="24"/>
        </w:rPr>
        <w:t>4. TSG 21-2016-含1#修改单《固定式压力容器安全技术监察规程》；</w:t>
      </w:r>
    </w:p>
    <w:p w14:paraId="02840CC5">
      <w:pPr>
        <w:pStyle w:val="60"/>
        <w:numPr>
          <w:ilvl w:val="0"/>
          <w:numId w:val="2"/>
        </w:numPr>
        <w:spacing w:before="50" w:line="360" w:lineRule="auto"/>
        <w:ind w:firstLine="6" w:firstLineChars="0"/>
        <w:rPr>
          <w:rFonts w:eastAsiaTheme="minorEastAsia"/>
          <w:sz w:val="24"/>
        </w:rPr>
      </w:pPr>
      <w:r>
        <w:rPr>
          <w:rFonts w:hint="eastAsia"/>
          <w:sz w:val="24"/>
        </w:rPr>
        <w:t>5. GB/T 150.1~4-2011《压力容器》；</w:t>
      </w:r>
    </w:p>
    <w:p w14:paraId="02840CC5">
      <w:pPr>
        <w:pStyle w:val="60"/>
        <w:numPr>
          <w:ilvl w:val="0"/>
          <w:numId w:val="2"/>
        </w:numPr>
        <w:spacing w:before="50" w:line="360" w:lineRule="auto"/>
        <w:ind w:firstLine="6" w:firstLineChars="0"/>
        <w:rPr>
          <w:rFonts w:eastAsiaTheme="minorEastAsia"/>
          <w:sz w:val="24"/>
        </w:rPr>
      </w:pPr>
      <w:r>
        <w:rPr>
          <w:rFonts w:hint="eastAsia"/>
          <w:sz w:val="24"/>
        </w:rPr>
        <w:t>6. GB/T 151-2014《管壳式换热器》；</w:t>
      </w:r>
    </w:p>
    <w:p w14:paraId="02840CC5">
      <w:pPr>
        <w:pStyle w:val="60"/>
        <w:numPr>
          <w:ilvl w:val="0"/>
          <w:numId w:val="2"/>
        </w:numPr>
        <w:spacing w:before="50" w:line="360" w:lineRule="auto"/>
        <w:ind w:firstLine="6" w:firstLineChars="0"/>
        <w:rPr>
          <w:rFonts w:eastAsiaTheme="minorEastAsia"/>
          <w:sz w:val="24"/>
        </w:rPr>
      </w:pPr>
      <w:r>
        <w:rPr>
          <w:rFonts w:hint="eastAsia"/>
          <w:sz w:val="24"/>
        </w:rPr>
        <w:t>7. NB/T 47013.1~12《承压设备无损检测》；</w:t>
      </w:r>
    </w:p>
    <w:p w14:paraId="02840CC5">
      <w:pPr>
        <w:pStyle w:val="60"/>
        <w:numPr>
          <w:ilvl w:val="0"/>
          <w:numId w:val="2"/>
        </w:numPr>
        <w:spacing w:before="50" w:line="360" w:lineRule="auto"/>
        <w:ind w:firstLine="6" w:firstLineChars="0"/>
        <w:rPr>
          <w:rFonts w:eastAsiaTheme="minorEastAsia"/>
          <w:sz w:val="24"/>
        </w:rPr>
      </w:pPr>
      <w:r>
        <w:rPr>
          <w:rFonts w:hint="eastAsia"/>
          <w:sz w:val="24"/>
        </w:rPr>
        <w:t>8. NB/T 47014《承压设备焊接工艺评定》；</w:t>
      </w:r>
    </w:p>
    <w:p w14:paraId="02840CC5">
      <w:pPr>
        <w:pStyle w:val="60"/>
        <w:numPr>
          <w:ilvl w:val="0"/>
          <w:numId w:val="2"/>
        </w:numPr>
        <w:spacing w:before="50" w:line="360" w:lineRule="auto"/>
        <w:ind w:firstLine="6" w:firstLineChars="0"/>
        <w:rPr>
          <w:rFonts w:eastAsiaTheme="minorEastAsia"/>
          <w:sz w:val="24"/>
        </w:rPr>
      </w:pPr>
      <w:r>
        <w:rPr>
          <w:rFonts w:hint="eastAsia"/>
          <w:sz w:val="24"/>
        </w:rPr>
        <w:t>9. NB/T 47015《压力容器焊接规程》；</w:t>
      </w:r>
    </w:p>
    <w:p w14:paraId="02840CC5">
      <w:pPr>
        <w:pStyle w:val="60"/>
        <w:numPr>
          <w:ilvl w:val="0"/>
          <w:numId w:val="2"/>
        </w:numPr>
        <w:spacing w:before="50" w:line="360" w:lineRule="auto"/>
        <w:ind w:firstLine="6" w:firstLineChars="0"/>
        <w:rPr>
          <w:rFonts w:eastAsiaTheme="minorEastAsia"/>
          <w:sz w:val="24"/>
        </w:rPr>
      </w:pPr>
      <w:r>
        <w:rPr>
          <w:rFonts w:hint="eastAsia"/>
          <w:sz w:val="24"/>
        </w:rPr>
        <w:t>10. NB/T 47018《承压设备用焊接材料订货技术条件》；</w:t>
      </w:r>
    </w:p>
    <w:p w14:paraId="02840CC5">
      <w:pPr>
        <w:pStyle w:val="60"/>
        <w:numPr>
          <w:ilvl w:val="0"/>
          <w:numId w:val="2"/>
        </w:numPr>
        <w:spacing w:before="50" w:line="360" w:lineRule="auto"/>
        <w:ind w:firstLine="6" w:firstLineChars="0"/>
        <w:rPr>
          <w:rFonts w:eastAsiaTheme="minorEastAsia"/>
          <w:sz w:val="24"/>
        </w:rPr>
      </w:pPr>
      <w:r>
        <w:rPr>
          <w:rFonts w:hint="eastAsia"/>
          <w:sz w:val="24"/>
        </w:rPr>
        <w:t>11. NB/T 47019《锅炉、热交换器用管订货技术条件》；</w:t>
      </w:r>
    </w:p>
    <w:p w14:paraId="02840CC5">
      <w:pPr>
        <w:pStyle w:val="60"/>
        <w:numPr>
          <w:ilvl w:val="0"/>
          <w:numId w:val="2"/>
        </w:numPr>
        <w:spacing w:before="50" w:line="360" w:lineRule="auto"/>
        <w:ind w:firstLine="6" w:firstLineChars="0"/>
        <w:rPr>
          <w:rFonts w:eastAsiaTheme="minorEastAsia"/>
          <w:sz w:val="24"/>
        </w:rPr>
      </w:pPr>
      <w:r>
        <w:rPr>
          <w:rFonts w:hint="eastAsia"/>
          <w:sz w:val="24"/>
        </w:rPr>
        <w:t>12. NB/T 47002.1《压力容器用复合板》；</w:t>
      </w:r>
    </w:p>
    <w:p w14:paraId="02840CC5">
      <w:pPr>
        <w:pStyle w:val="60"/>
        <w:numPr>
          <w:ilvl w:val="0"/>
          <w:numId w:val="2"/>
        </w:numPr>
        <w:spacing w:before="50" w:line="360" w:lineRule="auto"/>
        <w:ind w:firstLine="6" w:firstLineChars="0"/>
        <w:rPr>
          <w:rFonts w:eastAsiaTheme="minorEastAsia"/>
          <w:sz w:val="24"/>
        </w:rPr>
      </w:pPr>
      <w:r>
        <w:rPr>
          <w:rFonts w:hint="eastAsia"/>
          <w:sz w:val="24"/>
        </w:rPr>
        <w:t>13. SH/T 3022《石油化工设备和管道涂料防腐蚀设计标准》；</w:t>
      </w:r>
    </w:p>
    <w:p w14:paraId="02840CC5">
      <w:pPr>
        <w:pStyle w:val="60"/>
        <w:numPr>
          <w:ilvl w:val="0"/>
          <w:numId w:val="2"/>
        </w:numPr>
        <w:spacing w:before="50" w:line="360" w:lineRule="auto"/>
        <w:ind w:firstLine="6" w:firstLineChars="0"/>
        <w:rPr>
          <w:rFonts w:eastAsiaTheme="minorEastAsia"/>
          <w:sz w:val="24"/>
        </w:rPr>
      </w:pPr>
      <w:r>
        <w:rPr>
          <w:rFonts w:hint="eastAsia"/>
          <w:sz w:val="24"/>
        </w:rPr>
        <w:t>14. NB/T 10558-2021《压力容器涂敷与运输包装》；</w:t>
      </w:r>
    </w:p>
    <w:p w14:paraId="02840CC5">
      <w:pPr>
        <w:pStyle w:val="60"/>
        <w:numPr>
          <w:ilvl w:val="0"/>
          <w:numId w:val="2"/>
        </w:numPr>
        <w:spacing w:before="50" w:line="360" w:lineRule="auto"/>
        <w:ind w:firstLine="6" w:firstLineChars="0"/>
        <w:rPr>
          <w:rFonts w:eastAsiaTheme="minorEastAsia"/>
          <w:sz w:val="24"/>
        </w:rPr>
      </w:pPr>
      <w:r>
        <w:rPr>
          <w:rFonts w:hint="eastAsia"/>
          <w:sz w:val="24"/>
        </w:rPr>
        <w:t>15. T-EQ051008C-2018《管壳式换热器换热管与管板连接技术条件》；</w:t>
      </w:r>
    </w:p>
    <w:p w14:paraId="02840CC5">
      <w:pPr>
        <w:pStyle w:val="60"/>
        <w:numPr>
          <w:ilvl w:val="0"/>
          <w:numId w:val="2"/>
        </w:numPr>
        <w:spacing w:before="50" w:line="360" w:lineRule="auto"/>
        <w:ind w:firstLine="6" w:firstLineChars="0"/>
        <w:rPr>
          <w:rFonts w:eastAsiaTheme="minorEastAsia"/>
          <w:sz w:val="24"/>
        </w:rPr>
      </w:pPr>
      <w:r>
        <w:rPr>
          <w:rFonts w:hint="eastAsia"/>
          <w:sz w:val="24"/>
        </w:rPr>
        <w:t>16. GB/T 713-2023《承压设备用钢板和钢带》；</w:t>
      </w:r>
    </w:p>
    <w:p w14:paraId="02840CC5">
      <w:pPr>
        <w:pStyle w:val="60"/>
        <w:numPr>
          <w:ilvl w:val="0"/>
          <w:numId w:val="2"/>
        </w:numPr>
        <w:spacing w:before="50" w:line="360" w:lineRule="auto"/>
        <w:ind w:firstLine="6" w:firstLineChars="0"/>
        <w:rPr>
          <w:rFonts w:eastAsiaTheme="minorEastAsia"/>
          <w:sz w:val="24"/>
        </w:rPr>
      </w:pPr>
      <w:r>
        <w:rPr>
          <w:rFonts w:hint="eastAsia"/>
          <w:sz w:val="24"/>
        </w:rPr>
        <w:t>17. HG/T 20615《钢制管法兰（Class系列）》；</w:t>
      </w:r>
    </w:p>
    <w:p w14:paraId="02840CC5">
      <w:pPr>
        <w:pStyle w:val="60"/>
        <w:numPr>
          <w:ilvl w:val="0"/>
          <w:numId w:val="2"/>
        </w:numPr>
        <w:spacing w:before="50" w:line="360" w:lineRule="auto"/>
        <w:ind w:firstLine="6" w:firstLineChars="0"/>
        <w:rPr>
          <w:rFonts w:eastAsiaTheme="minorEastAsia"/>
          <w:sz w:val="24"/>
        </w:rPr>
      </w:pPr>
      <w:r>
        <w:rPr>
          <w:rFonts w:hint="eastAsia"/>
          <w:sz w:val="24"/>
        </w:rPr>
        <w:t>18. 相关材料标准；</w:t>
      </w:r>
    </w:p>
    <w:p w14:paraId="02840CC5">
      <w:pPr>
        <w:pStyle w:val="60"/>
        <w:numPr>
          <w:ilvl w:val="0"/>
          <w:numId w:val="2"/>
        </w:numPr>
        <w:spacing w:before="50" w:line="360" w:lineRule="auto"/>
        <w:ind w:firstLine="6" w:firstLineChars="0"/>
        <w:rPr>
          <w:rFonts w:eastAsiaTheme="minorEastAsia"/>
          <w:sz w:val="24"/>
        </w:rPr>
      </w:pPr>
      <w:r>
        <w:rPr>
          <w:rFonts w:hint="eastAsia"/>
          <w:sz w:val="24"/>
        </w:rPr>
        <w:t>19. 其余相关标准。</w:t>
      </w:r>
    </w:p>
    <w:p w14:paraId="7F213CDD">
      <w:pPr>
        <w:pStyle w:val="60"/>
        <w:numPr>
          <w:ilvl w:val="0"/>
          <w:numId w:val="1"/>
        </w:numPr>
        <w:spacing w:line="360" w:lineRule="auto"/>
        <w:ind w:firstLineChars="0"/>
        <w:outlineLvl w:val="0"/>
        <w:rPr>
          <w:rFonts w:hint="eastAsia" w:ascii="宋体" w:hAnsi="宋体"/>
          <w:b/>
          <w:sz w:val="24"/>
        </w:rPr>
      </w:pPr>
      <w:bookmarkStart w:id="9" w:name="_Toc24205860"/>
      <w:bookmarkStart w:id="10" w:name="_Toc454578295"/>
      <w:bookmarkStart w:id="11" w:name="_Toc102238042"/>
      <w:bookmarkStart w:id="12" w:name="_Toc176165876"/>
      <w:r>
        <w:rPr>
          <w:rFonts w:hint="eastAsia" w:ascii="宋体" w:hAnsi="宋体"/>
          <w:b/>
          <w:sz w:val="24"/>
        </w:rPr>
        <w:t>监理工作范围</w:t>
      </w:r>
      <w:bookmarkEnd w:id="9"/>
      <w:bookmarkEnd w:id="10"/>
      <w:bookmarkEnd w:id="11"/>
      <w:bookmarkEnd w:id="12"/>
    </w:p>
    <w:p w14:paraId="3928DC40">
      <w:pPr>
        <w:spacing w:line="360" w:lineRule="auto"/>
        <w:ind w:firstLine="480" w:firstLineChars="200"/>
        <w:rPr>
          <w:rFonts w:hint="eastAsia" w:ascii="宋体" w:hAnsi="宋体"/>
          <w:sz w:val="24"/>
        </w:rPr>
      </w:pPr>
      <w:r>
        <w:rPr>
          <w:rFonts w:hint="eastAsia" w:ascii="宋体" w:hAnsi="宋体"/>
          <w:sz w:val="24"/>
        </w:rPr>
        <w:t>本项目中监造范围包括：1台循环气冷凝器（位号：E-310，主体材质：壳程:S31603+09MnNiDR/管程:Q345R/管板:09MnNiD+S31603堆焊/换热管:S31603，规格：~DN2700 ×8351，设备类型：U型管直管段长度不包含插入管板部分）；1台循环气冷凝器（位号：E-320，主体材质：壳程:S31603+09MnNiDR/管程:Q345R/管板:09MnNiD+S31603堆焊/换热管:S31603，规格：~DN2700 ×8351，设备类型：U型管直管段长度不包含插入管板部分）。</w:t>
      </w:r>
    </w:p>
    <w:p w14:paraId="6F9667BA">
      <w:pPr>
        <w:pStyle w:val="59"/>
        <w:spacing w:line="360" w:lineRule="auto"/>
        <w:ind w:firstLine="480"/>
        <w:rPr>
          <w:rFonts w:hint="eastAsia" w:ascii="宋体" w:hAnsi="宋体"/>
          <w:sz w:val="24"/>
          <w:szCs w:val="36"/>
        </w:rPr>
      </w:pPr>
      <w:r>
        <w:rPr>
          <w:rFonts w:hint="eastAsia" w:ascii="宋体" w:hAnsi="宋体"/>
          <w:sz w:val="24"/>
          <w:szCs w:val="36"/>
        </w:rPr>
        <w:t>根据《技术协议》和《监理合同》，采用如下监理方式：</w:t>
      </w:r>
    </w:p>
    <w:tbl>
      <w:tblPr>
        <w:tblStyle w:val="33"/>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812"/>
        <w:gridCol w:w="2552"/>
      </w:tblGrid>
      <w:tr w14:paraId="3D24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r>
              <w:rPr>
                <w:rFonts w:ascii="宋体" w:hAnsi="宋体" w:eastAsia="宋体"/>
                <w:sz w:val="21"/>
              </w:rPr>
              <w:t>No.</w:t>
            </w:r>
          </w:p>
        </w:tc>
        <w:tc>
          <w:tcPr>
            <w:tcW w:w="5812" w:type="dxa"/>
            <w:vAlign w:val="center"/>
          </w:tcPr>
          <w:p>
            <w:r>
              <w:rPr>
                <w:rFonts w:ascii="宋体" w:hAnsi="宋体" w:eastAsia="宋体"/>
                <w:sz w:val="21"/>
              </w:rPr>
              <w:t>监理地点</w:t>
            </w:r>
          </w:p>
        </w:tc>
        <w:tc>
          <w:tcPr>
            <w:tcW w:w="2552" w:type="dxa"/>
            <w:vAlign w:val="center"/>
          </w:tcPr>
          <w:p>
            <w:r>
              <w:rPr>
                <w:rFonts w:ascii="宋体" w:hAnsi="宋体" w:eastAsia="宋体"/>
                <w:sz w:val="21"/>
              </w:rPr>
              <w:t>监理方式</w:t>
            </w:r>
          </w:p>
        </w:tc>
      </w:tr>
      <w:tr w14:paraId="6C137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r>
              <w:rPr>
                <w:rFonts w:ascii="宋体" w:hAnsi="宋体" w:eastAsia="宋体"/>
                <w:sz w:val="21"/>
              </w:rPr>
              <w:t>1</w:t>
            </w:r>
          </w:p>
        </w:tc>
        <w:tc>
          <w:tcPr>
            <w:tcW w:w="5812" w:type="dxa"/>
            <w:vAlign w:val="center"/>
          </w:tcPr>
          <w:p>
            <w:r>
              <w:rPr>
                <w:rFonts w:ascii="宋体" w:hAnsi="宋体" w:eastAsia="宋体"/>
                <w:sz w:val="21"/>
              </w:rPr>
              <w:t>江苏中圣压力容器装备制造有限公司</w:t>
            </w:r>
          </w:p>
        </w:tc>
        <w:tc>
          <w:tcPr>
            <w:tcW w:w="2552" w:type="dxa"/>
            <w:vAlign w:val="center"/>
          </w:tcPr>
          <w:p>
            <w:r>
              <w:rPr>
                <w:rFonts w:ascii="宋体" w:hAnsi="宋体" w:eastAsia="宋体"/>
                <w:sz w:val="21"/>
              </w:rPr>
              <w:t>驻厂全过程监造</w:t>
            </w:r>
          </w:p>
        </w:tc>
      </w:tr>
    </w:tbl>
    <w:p w14:paraId="410C9C92">
      <w:pPr>
        <w:pStyle w:val="60"/>
        <w:numPr>
          <w:ilvl w:val="0"/>
          <w:numId w:val="1"/>
        </w:numPr>
        <w:spacing w:line="360" w:lineRule="auto"/>
        <w:ind w:firstLineChars="0"/>
        <w:outlineLvl w:val="0"/>
        <w:rPr>
          <w:rFonts w:hint="eastAsia" w:ascii="宋体" w:hAnsi="宋体"/>
          <w:sz w:val="24"/>
        </w:rPr>
      </w:pPr>
      <w:bookmarkStart w:id="14" w:name="_Toc176165877"/>
      <w:r>
        <w:rPr>
          <w:rFonts w:hint="eastAsia" w:ascii="宋体" w:hAnsi="宋体"/>
          <w:b/>
          <w:sz w:val="24"/>
        </w:rPr>
        <w:t>监理项目组织机构及人员配备原则</w:t>
      </w:r>
      <w:bookmarkEnd w:id="13"/>
      <w:bookmarkEnd w:id="14"/>
    </w:p>
    <w:p w14:paraId="1BDF5A25">
      <w:pPr>
        <w:spacing w:line="360" w:lineRule="auto"/>
        <w:ind w:firstLine="480" w:firstLineChars="200"/>
        <w:rPr>
          <w:rFonts w:hint="eastAsia" w:ascii="宋体" w:hAnsi="宋体"/>
          <w:sz w:val="24"/>
        </w:rPr>
      </w:pPr>
      <w:r>
        <w:rPr>
          <w:rFonts w:ascii="宋体" w:hAnsi="宋体"/>
          <w:sz w:val="24"/>
        </w:rPr>
        <w:drawing>
          <wp:inline distT="0" distB="0" distL="0" distR="0">
            <wp:extent cx="4843145" cy="359473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846805" cy="3597681"/>
                    </a:xfrm>
                    <a:prstGeom prst="rect">
                      <a:avLst/>
                    </a:prstGeom>
                    <a:noFill/>
                    <a:ln>
                      <a:noFill/>
                    </a:ln>
                  </pic:spPr>
                </pic:pic>
              </a:graphicData>
            </a:graphic>
          </wp:inline>
        </w:drawing>
      </w:r>
    </w:p>
    <w:p w14:paraId="6291ED65">
      <w:pPr>
        <w:spacing w:line="360" w:lineRule="auto"/>
        <w:ind w:firstLine="480" w:firstLineChars="200"/>
        <w:rPr>
          <w:rFonts w:hint="eastAsia" w:ascii="宋体" w:hAnsi="宋体"/>
          <w:sz w:val="24"/>
        </w:rPr>
      </w:pPr>
      <w:r>
        <w:rPr>
          <w:rFonts w:hint="eastAsia" w:ascii="宋体" w:hAnsi="宋体"/>
          <w:sz w:val="24"/>
        </w:rPr>
        <w:t>本项目设备监理的组织机构：</w:t>
      </w:r>
    </w:p>
    <w:p w14:paraId="134D1F20">
      <w:pPr>
        <w:spacing w:line="360" w:lineRule="auto"/>
        <w:ind w:firstLine="480" w:firstLineChars="200"/>
        <w:rPr>
          <w:rFonts w:hint="eastAsia" w:ascii="宋体" w:hAnsi="宋体"/>
          <w:color w:val="FF0000"/>
          <w:sz w:val="24"/>
        </w:rPr>
      </w:pPr>
      <w:r>
        <w:rPr>
          <w:rFonts w:ascii="宋体" w:hAnsi="宋体"/>
          <w:color w:val="FF0000"/>
          <w:sz w:val="24"/>
        </w:rPr>
        <mc:AlternateContent>
          <mc:Choice Requires="wps">
            <w:drawing>
              <wp:anchor distT="0" distB="0" distL="114300" distR="114300" simplePos="0" relativeHeight="251659264" behindDoc="0" locked="0" layoutInCell="1" allowOverlap="1">
                <wp:simplePos x="0" y="0"/>
                <wp:positionH relativeFrom="column">
                  <wp:posOffset>2047875</wp:posOffset>
                </wp:positionH>
                <wp:positionV relativeFrom="paragraph">
                  <wp:posOffset>195580</wp:posOffset>
                </wp:positionV>
                <wp:extent cx="1438275" cy="581025"/>
                <wp:effectExtent l="9525" t="8890" r="9525" b="10160"/>
                <wp:wrapNone/>
                <wp:docPr id="24" name="矩形: 圆角 24"/>
                <wp:cNvGraphicFramePr/>
                <a:graphic xmlns:a="http://schemas.openxmlformats.org/drawingml/2006/main">
                  <a:graphicData uri="http://schemas.microsoft.com/office/word/2010/wordprocessingShape">
                    <wps:wsp>
                      <wps:cNvSpPr>
                        <a:spLocks noChangeArrowheads="1"/>
                      </wps:cNvSpPr>
                      <wps:spPr bwMode="auto">
                        <a:xfrm>
                          <a:off x="0" y="0"/>
                          <a:ext cx="1438275" cy="581025"/>
                        </a:xfrm>
                        <a:prstGeom prst="roundRect">
                          <a:avLst>
                            <a:gd name="adj" fmla="val 16667"/>
                          </a:avLst>
                        </a:prstGeom>
                        <a:solidFill>
                          <a:srgbClr val="FFFFFF"/>
                        </a:solidFill>
                        <a:ln w="9525">
                          <a:solidFill>
                            <a:srgbClr val="17365D"/>
                          </a:solidFill>
                          <a:round/>
                        </a:ln>
                      </wps:spPr>
                      <wps:txbx>
                        <w:txbxContent>
                          <w:p w14:paraId="310CECBB">
                            <w:pPr>
                              <w:spacing w:line="240" w:lineRule="exact"/>
                              <w:jc w:val="center"/>
                              <w:rPr>
                                <w:rFonts w:hint="eastAsia" w:ascii="黑体" w:hAnsi="黑体" w:eastAsia="黑体"/>
                                <w:szCs w:val="21"/>
                              </w:rPr>
                            </w:pPr>
                            <w:r>
                              <w:rPr>
                                <w:rFonts w:ascii="黑体" w:hAnsi="黑体" w:eastAsia="黑体"/>
                                <w:szCs w:val="21"/>
                              </w:rPr>
                              <w:t>项目总监</w:t>
                            </w:r>
                          </w:p>
                          <w:p w14:paraId="57E27CC0">
                            <w:pPr>
                              <w:spacing w:line="240" w:lineRule="exact"/>
                              <w:jc w:val="center"/>
                              <w:rPr>
                                <w:rFonts w:hint="eastAsia" w:ascii="黑体" w:hAnsi="黑体" w:eastAsia="黑体"/>
                                <w:szCs w:val="21"/>
                              </w:rPr>
                            </w:pPr>
                            <w:r>
                              <w:rPr>
                                <w:rFonts w:hint="eastAsia" w:ascii="黑体" w:hAnsi="黑体" w:eastAsia="黑体"/>
                                <w:szCs w:val="21"/>
                              </w:rPr>
                              <w:t>吴晓俣</w:t>
                            </w:r>
                          </w:p>
                          <w:p w14:paraId="26D8C225">
                            <w:pPr>
                              <w:spacing w:line="240" w:lineRule="exact"/>
                              <w:jc w:val="center"/>
                              <w:rPr>
                                <w:rFonts w:hint="eastAsia" w:ascii="黑体" w:hAnsi="黑体" w:eastAsia="黑体"/>
                                <w:szCs w:val="21"/>
                              </w:rPr>
                            </w:pPr>
                          </w:p>
                        </w:txbxContent>
                      </wps:txbx>
                      <wps:bodyPr rot="0" vert="horz" wrap="square" lIns="91440" tIns="45720" rIns="91440" bIns="45720" anchor="t" anchorCtr="0" upright="1">
                        <a:noAutofit/>
                      </wps:bodyPr>
                    </wps:wsp>
                  </a:graphicData>
                </a:graphic>
              </wp:anchor>
            </w:drawing>
          </mc:Choice>
          <mc:Fallback>
            <w:pict>
              <v:roundrect id="矩形: 圆角 24" o:spid="_x0000_s1026" o:spt="2" style="position:absolute;left:0pt;margin-left:161.25pt;margin-top:15.4pt;height:45.75pt;width:113.25pt;z-index:251659264;mso-width-relative:page;mso-height-relative:page;" fillcolor="#FFFFFF" filled="t" stroked="t" coordsize="21600,21600" arcsize="0.166666666666667" o:gfxdata="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nyXdnNUA&#10;AAAKAQAADwAAAAAAAAABACAAAAAiAAAAZHJzL2Rvd25yZXYueG1sUEsBAhQAFAAAAAgAh07iQJ+4&#10;LYdbAgAAqAQAAA4AAAAAAAAAAQAgAAAAJAEAAGRycy9lMm9Eb2MueG1sUEsFBgAAAAAGAAYAWQEA&#10;APEFAAAAAA==&#10;">
                <v:fill on="t" focussize="0,0"/>
                <v:stroke color="#17365D" joinstyle="round"/>
                <v:imagedata o:title=""/>
                <o:lock v:ext="edit" aspectratio="f"/>
                <v:textbox>
                  <w:txbxContent>
                    <w:p w14:paraId="310CECBB">
                      <w:pPr>
                        <w:spacing w:line="240" w:lineRule="exact"/>
                        <w:jc w:val="center"/>
                        <w:rPr>
                          <w:rFonts w:hint="eastAsia" w:ascii="黑体" w:hAnsi="黑体" w:eastAsia="黑体"/>
                          <w:szCs w:val="21"/>
                        </w:rPr>
                      </w:pPr>
                      <w:r>
                        <w:rPr>
                          <w:rFonts w:ascii="黑体" w:hAnsi="黑体" w:eastAsia="黑体"/>
                          <w:szCs w:val="21"/>
                        </w:rPr>
                        <w:t>项目总监</w:t>
                      </w:r>
                    </w:p>
                    <w:p w14:paraId="57E27CC0">
                      <w:pPr>
                        <w:spacing w:line="240" w:lineRule="exact"/>
                        <w:jc w:val="center"/>
                        <w:rPr>
                          <w:rFonts w:hint="eastAsia" w:ascii="黑体" w:hAnsi="黑体" w:eastAsia="黑体"/>
                          <w:szCs w:val="21"/>
                        </w:rPr>
                      </w:pPr>
                      <w:r>
                        <w:rPr>
                          <w:rFonts w:hint="eastAsia" w:ascii="黑体" w:hAnsi="黑体" w:eastAsia="黑体"/>
                          <w:szCs w:val="21"/>
                        </w:rPr>
                        <w:t>吴晓俣</w:t>
                      </w:r>
                    </w:p>
                    <w:p w14:paraId="26D8C225">
                      <w:pPr>
                        <w:spacing w:line="240" w:lineRule="exact"/>
                        <w:jc w:val="center"/>
                        <w:rPr>
                          <w:rFonts w:hint="eastAsia" w:ascii="黑体" w:hAnsi="黑体" w:eastAsia="黑体"/>
                          <w:szCs w:val="21"/>
                        </w:rPr>
                      </w:pPr>
                    </w:p>
                  </w:txbxContent>
                </v:textbox>
              </v:roundrect>
            </w:pict>
          </mc:Fallback>
        </mc:AlternateContent>
      </w:r>
    </w:p>
    <w:p w14:paraId="10AFC387">
      <w:pPr>
        <w:spacing w:line="360" w:lineRule="auto"/>
        <w:ind w:firstLine="480" w:firstLineChars="200"/>
        <w:rPr>
          <w:rFonts w:hint="eastAsia" w:ascii="宋体" w:hAnsi="宋体"/>
          <w:color w:val="FF0000"/>
          <w:sz w:val="24"/>
        </w:rPr>
      </w:pPr>
    </w:p>
    <w:p w14:paraId="41ECCEA9">
      <w:pPr>
        <w:spacing w:line="360" w:lineRule="auto"/>
        <w:ind w:firstLine="480" w:firstLineChars="200"/>
        <w:rPr>
          <w:rFonts w:hint="eastAsia" w:ascii="宋体" w:hAnsi="宋体"/>
          <w:color w:val="FF0000"/>
          <w:sz w:val="24"/>
        </w:rPr>
      </w:pPr>
      <w:r>
        <w:rPr>
          <w:rFonts w:ascii="宋体" w:hAnsi="宋体"/>
          <w:color w:val="FF0000"/>
          <w:sz w:val="24"/>
        </w:rPr>
        <mc:AlternateContent>
          <mc:Choice Requires="wps">
            <w:drawing>
              <wp:anchor distT="0" distB="0" distL="114300" distR="114300" simplePos="0" relativeHeight="251665408" behindDoc="0" locked="0" layoutInCell="1" allowOverlap="1">
                <wp:simplePos x="0" y="0"/>
                <wp:positionH relativeFrom="column">
                  <wp:posOffset>3476625</wp:posOffset>
                </wp:positionH>
                <wp:positionV relativeFrom="paragraph">
                  <wp:posOffset>182245</wp:posOffset>
                </wp:positionV>
                <wp:extent cx="1438275" cy="581025"/>
                <wp:effectExtent l="9525" t="8890" r="9525" b="10160"/>
                <wp:wrapNone/>
                <wp:docPr id="23" name="矩形: 圆角 23"/>
                <wp:cNvGraphicFramePr/>
                <a:graphic xmlns:a="http://schemas.openxmlformats.org/drawingml/2006/main">
                  <a:graphicData uri="http://schemas.microsoft.com/office/word/2010/wordprocessingShape">
                    <wps:wsp>
                      <wps:cNvSpPr>
                        <a:spLocks noChangeArrowheads="1"/>
                      </wps:cNvSpPr>
                      <wps:spPr bwMode="auto">
                        <a:xfrm>
                          <a:off x="0" y="0"/>
                          <a:ext cx="1438275" cy="581025"/>
                        </a:xfrm>
                        <a:prstGeom prst="roundRect">
                          <a:avLst>
                            <a:gd name="adj" fmla="val 16667"/>
                          </a:avLst>
                        </a:prstGeom>
                        <a:solidFill>
                          <a:srgbClr val="FFFFFF"/>
                        </a:solidFill>
                        <a:ln w="9525">
                          <a:solidFill>
                            <a:srgbClr val="17365D"/>
                          </a:solidFill>
                          <a:round/>
                        </a:ln>
                      </wps:spPr>
                      <wps:txbx>
                        <w:txbxContent>
                          <w:p w14:paraId="6E154285">
                            <w:pPr>
                              <w:spacing w:line="240" w:lineRule="exact"/>
                              <w:jc w:val="center"/>
                              <w:rPr>
                                <w:rFonts w:hint="eastAsia" w:ascii="黑体" w:hAnsi="黑体" w:eastAsia="黑体"/>
                                <w:szCs w:val="21"/>
                              </w:rPr>
                            </w:pPr>
                            <w:r>
                              <w:rPr>
                                <w:rFonts w:hint="eastAsia" w:ascii="黑体" w:hAnsi="黑体" w:eastAsia="黑体"/>
                                <w:szCs w:val="21"/>
                              </w:rPr>
                              <w:t>HSE负责人</w:t>
                            </w:r>
                          </w:p>
                          <w:p w14:paraId="40A5DA95">
                            <w:pPr>
                              <w:spacing w:line="240" w:lineRule="exact"/>
                              <w:jc w:val="center"/>
                              <w:rPr>
                                <w:rFonts w:hint="eastAsia" w:ascii="黑体" w:hAnsi="黑体" w:eastAsia="黑体"/>
                                <w:szCs w:val="21"/>
                              </w:rPr>
                            </w:pPr>
                            <w:r>
                              <w:rPr>
                                <w:rFonts w:hint="eastAsia" w:ascii="黑体" w:hAnsi="黑体" w:eastAsia="黑体"/>
                                <w:szCs w:val="21"/>
                              </w:rPr>
                              <w:t>易锋</w:t>
                            </w:r>
                          </w:p>
                          <w:p w14:paraId="35BF601E">
                            <w:pPr>
                              <w:spacing w:line="240" w:lineRule="exact"/>
                              <w:jc w:val="center"/>
                              <w:rPr>
                                <w:rFonts w:hint="eastAsia" w:ascii="黑体" w:hAnsi="黑体" w:eastAsia="黑体"/>
                                <w:szCs w:val="21"/>
                              </w:rPr>
                            </w:pPr>
                          </w:p>
                        </w:txbxContent>
                      </wps:txbx>
                      <wps:bodyPr rot="0" vert="horz" wrap="square" lIns="91440" tIns="45720" rIns="91440" bIns="45720" anchor="t" anchorCtr="0" upright="1">
                        <a:noAutofit/>
                      </wps:bodyPr>
                    </wps:wsp>
                  </a:graphicData>
                </a:graphic>
              </wp:anchor>
            </w:drawing>
          </mc:Choice>
          <mc:Fallback>
            <w:pict>
              <v:roundrect id="矩形: 圆角 23" o:spid="_x0000_s1026" o:spt="2" style="position:absolute;left:0pt;margin-left:273.75pt;margin-top:14.35pt;height:45.75pt;width:113.25pt;z-index:251665408;mso-width-relative:page;mso-height-relative:page;" fillcolor="#FFFFFF" filled="t" stroked="t" coordsize="21600,21600" arcsize="0.166666666666667" o:gfxdata="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HICynW&#10;AAAACgEAAA8AAAAAAAAAAQAgAAAAIgAAAGRycy9kb3ducmV2LnhtbFBLAQIUABQAAAAIAIdO4kCw&#10;j2fZWwIAAKgEAAAOAAAAAAAAAAEAIAAAACUBAABkcnMvZTJvRG9jLnhtbFBLBQYAAAAABgAGAFkB&#10;AADyBQAAAAA=&#10;">
                <v:fill on="t" focussize="0,0"/>
                <v:stroke color="#17365D" joinstyle="round"/>
                <v:imagedata o:title=""/>
                <o:lock v:ext="edit" aspectratio="f"/>
                <v:textbox>
                  <w:txbxContent>
                    <w:p w14:paraId="6E154285">
                      <w:pPr>
                        <w:spacing w:line="240" w:lineRule="exact"/>
                        <w:jc w:val="center"/>
                        <w:rPr>
                          <w:rFonts w:hint="eastAsia" w:ascii="黑体" w:hAnsi="黑体" w:eastAsia="黑体"/>
                          <w:szCs w:val="21"/>
                        </w:rPr>
                      </w:pPr>
                      <w:r>
                        <w:rPr>
                          <w:rFonts w:hint="eastAsia" w:ascii="黑体" w:hAnsi="黑体" w:eastAsia="黑体"/>
                          <w:szCs w:val="21"/>
                        </w:rPr>
                        <w:t>HSE负责人</w:t>
                      </w:r>
                    </w:p>
                    <w:p w14:paraId="40A5DA95">
                      <w:pPr>
                        <w:spacing w:line="240" w:lineRule="exact"/>
                        <w:jc w:val="center"/>
                        <w:rPr>
                          <w:rFonts w:hint="eastAsia" w:ascii="黑体" w:hAnsi="黑体" w:eastAsia="黑体"/>
                          <w:szCs w:val="21"/>
                        </w:rPr>
                      </w:pPr>
                      <w:r>
                        <w:rPr>
                          <w:rFonts w:hint="eastAsia" w:ascii="黑体" w:hAnsi="黑体" w:eastAsia="黑体"/>
                          <w:szCs w:val="21"/>
                        </w:rPr>
                        <w:t>易锋</w:t>
                      </w:r>
                    </w:p>
                    <w:p w14:paraId="35BF601E">
                      <w:pPr>
                        <w:spacing w:line="240" w:lineRule="exact"/>
                        <w:jc w:val="center"/>
                        <w:rPr>
                          <w:rFonts w:hint="eastAsia" w:ascii="黑体" w:hAnsi="黑体" w:eastAsia="黑体"/>
                          <w:szCs w:val="21"/>
                        </w:rPr>
                      </w:pPr>
                    </w:p>
                  </w:txbxContent>
                </v:textbox>
              </v:roundrect>
            </w:pict>
          </mc:Fallback>
        </mc:AlternateContent>
      </w:r>
      <w:r>
        <w:rPr>
          <w:rFonts w:ascii="宋体" w:hAnsi="宋体"/>
          <w:color w:val="FF0000"/>
          <w:sz w:val="24"/>
        </w:rPr>
        <mc:AlternateContent>
          <mc:Choice Requires="wps">
            <w:drawing>
              <wp:anchor distT="0" distB="0" distL="114300" distR="114300" simplePos="0" relativeHeight="251663360" behindDoc="0" locked="0" layoutInCell="1" allowOverlap="1">
                <wp:simplePos x="0" y="0"/>
                <wp:positionH relativeFrom="column">
                  <wp:posOffset>600075</wp:posOffset>
                </wp:positionH>
                <wp:positionV relativeFrom="paragraph">
                  <wp:posOffset>182245</wp:posOffset>
                </wp:positionV>
                <wp:extent cx="1438275" cy="581025"/>
                <wp:effectExtent l="9525" t="8890" r="9525" b="10160"/>
                <wp:wrapNone/>
                <wp:docPr id="22" name="矩形: 圆角 22"/>
                <wp:cNvGraphicFramePr/>
                <a:graphic xmlns:a="http://schemas.openxmlformats.org/drawingml/2006/main">
                  <a:graphicData uri="http://schemas.microsoft.com/office/word/2010/wordprocessingShape">
                    <wps:wsp>
                      <wps:cNvSpPr>
                        <a:spLocks noChangeArrowheads="1"/>
                      </wps:cNvSpPr>
                      <wps:spPr bwMode="auto">
                        <a:xfrm>
                          <a:off x="0" y="0"/>
                          <a:ext cx="1438275" cy="581025"/>
                        </a:xfrm>
                        <a:prstGeom prst="roundRect">
                          <a:avLst>
                            <a:gd name="adj" fmla="val 16667"/>
                          </a:avLst>
                        </a:prstGeom>
                        <a:solidFill>
                          <a:srgbClr val="FFFFFF"/>
                        </a:solidFill>
                        <a:ln w="9525">
                          <a:solidFill>
                            <a:srgbClr val="17365D"/>
                          </a:solidFill>
                          <a:round/>
                        </a:ln>
                      </wps:spPr>
                      <wps:txbx>
                        <w:txbxContent>
                          <w:p w14:paraId="2185D260">
                            <w:pPr>
                              <w:spacing w:line="240" w:lineRule="exact"/>
                              <w:jc w:val="center"/>
                              <w:rPr>
                                <w:rFonts w:hint="eastAsia" w:ascii="黑体" w:hAnsi="黑体" w:eastAsia="黑体"/>
                                <w:szCs w:val="21"/>
                              </w:rPr>
                            </w:pPr>
                            <w:r>
                              <w:rPr>
                                <w:rFonts w:hint="eastAsia" w:ascii="黑体" w:hAnsi="黑体" w:eastAsia="黑体"/>
                                <w:szCs w:val="21"/>
                              </w:rPr>
                              <w:t>技术负责人</w:t>
                            </w:r>
                          </w:p>
                          <w:p w14:paraId="25E47BDA">
                            <w:pPr>
                              <w:spacing w:line="240" w:lineRule="exact"/>
                              <w:jc w:val="center"/>
                              <w:rPr>
                                <w:rFonts w:hint="eastAsia" w:ascii="黑体" w:hAnsi="黑体" w:eastAsia="黑体"/>
                                <w:szCs w:val="21"/>
                              </w:rPr>
                            </w:pPr>
                            <w:r>
                              <w:rPr>
                                <w:rFonts w:hint="eastAsia" w:ascii="黑体" w:hAnsi="黑体" w:eastAsia="黑体"/>
                                <w:szCs w:val="21"/>
                              </w:rPr>
                              <w:t>吴晓俣</w:t>
                            </w:r>
                          </w:p>
                          <w:p w14:paraId="49701EE8">
                            <w:pPr>
                              <w:spacing w:line="240" w:lineRule="exact"/>
                              <w:jc w:val="center"/>
                              <w:rPr>
                                <w:rFonts w:hint="eastAsia" w:ascii="黑体" w:hAnsi="黑体" w:eastAsia="黑体"/>
                                <w:szCs w:val="21"/>
                              </w:rPr>
                            </w:pPr>
                          </w:p>
                        </w:txbxContent>
                      </wps:txbx>
                      <wps:bodyPr rot="0" vert="horz" wrap="square" lIns="91440" tIns="45720" rIns="91440" bIns="45720" anchor="t" anchorCtr="0" upright="1">
                        <a:noAutofit/>
                      </wps:bodyPr>
                    </wps:wsp>
                  </a:graphicData>
                </a:graphic>
              </wp:anchor>
            </w:drawing>
          </mc:Choice>
          <mc:Fallback>
            <w:pict>
              <v:roundrect id="矩形: 圆角 22" o:spid="_x0000_s1026" o:spt="2" style="position:absolute;left:0pt;margin-left:47.25pt;margin-top:14.35pt;height:45.75pt;width:113.25pt;z-index:251663360;mso-width-relative:page;mso-height-relative:page;" fillcolor="#FFFFFF" filled="t" stroked="t" coordsize="21600,21600" arcsize="0.166666666666667" o:gfxdata="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zxdVutUA&#10;AAAJAQAADwAAAAAAAAABACAAAAAiAAAAZHJzL2Rvd25yZXYueG1sUEsBAhQAFAAAAAgAh07iQBLp&#10;2YNbAgAAqAQAAA4AAAAAAAAAAQAgAAAAJAEAAGRycy9lMm9Eb2MueG1sUEsFBgAAAAAGAAYAWQEA&#10;APEFAAAAAA==&#10;">
                <v:fill on="t" focussize="0,0"/>
                <v:stroke color="#17365D" joinstyle="round"/>
                <v:imagedata o:title=""/>
                <o:lock v:ext="edit" aspectratio="f"/>
                <v:textbox>
                  <w:txbxContent>
                    <w:p w14:paraId="2185D260">
                      <w:pPr>
                        <w:spacing w:line="240" w:lineRule="exact"/>
                        <w:jc w:val="center"/>
                        <w:rPr>
                          <w:rFonts w:hint="eastAsia" w:ascii="黑体" w:hAnsi="黑体" w:eastAsia="黑体"/>
                          <w:szCs w:val="21"/>
                        </w:rPr>
                      </w:pPr>
                      <w:r>
                        <w:rPr>
                          <w:rFonts w:hint="eastAsia" w:ascii="黑体" w:hAnsi="黑体" w:eastAsia="黑体"/>
                          <w:szCs w:val="21"/>
                        </w:rPr>
                        <w:t>技术负责人</w:t>
                      </w:r>
                    </w:p>
                    <w:p w14:paraId="25E47BDA">
                      <w:pPr>
                        <w:spacing w:line="240" w:lineRule="exact"/>
                        <w:jc w:val="center"/>
                        <w:rPr>
                          <w:rFonts w:hint="eastAsia" w:ascii="黑体" w:hAnsi="黑体" w:eastAsia="黑体"/>
                          <w:szCs w:val="21"/>
                        </w:rPr>
                      </w:pPr>
                      <w:r>
                        <w:rPr>
                          <w:rFonts w:hint="eastAsia" w:ascii="黑体" w:hAnsi="黑体" w:eastAsia="黑体"/>
                          <w:szCs w:val="21"/>
                        </w:rPr>
                        <w:t>吴晓俣</w:t>
                      </w:r>
                    </w:p>
                    <w:p w14:paraId="49701EE8">
                      <w:pPr>
                        <w:spacing w:line="240" w:lineRule="exact"/>
                        <w:jc w:val="center"/>
                        <w:rPr>
                          <w:rFonts w:hint="eastAsia" w:ascii="黑体" w:hAnsi="黑体" w:eastAsia="黑体"/>
                          <w:szCs w:val="21"/>
                        </w:rPr>
                      </w:pPr>
                    </w:p>
                  </w:txbxContent>
                </v:textbox>
              </v:roundrect>
            </w:pict>
          </mc:Fallback>
        </mc:AlternateContent>
      </w:r>
      <w:r>
        <w:rPr>
          <w:rFonts w:ascii="宋体" w:hAnsi="宋体"/>
          <w:color w:val="FF0000"/>
          <w:sz w:val="24"/>
        </w:rPr>
        <mc:AlternateContent>
          <mc:Choice Requires="wps">
            <w:drawing>
              <wp:anchor distT="0" distB="0" distL="114300" distR="114300" simplePos="0" relativeHeight="251660288" behindDoc="0" locked="0" layoutInCell="1" allowOverlap="1">
                <wp:simplePos x="0" y="0"/>
                <wp:positionH relativeFrom="column">
                  <wp:posOffset>2762250</wp:posOffset>
                </wp:positionH>
                <wp:positionV relativeFrom="paragraph">
                  <wp:posOffset>182245</wp:posOffset>
                </wp:positionV>
                <wp:extent cx="0" cy="671195"/>
                <wp:effectExtent l="57150" t="8890" r="57150" b="15240"/>
                <wp:wrapNone/>
                <wp:docPr id="21" name="直接箭头连接符 21"/>
                <wp:cNvGraphicFramePr/>
                <a:graphic xmlns:a="http://schemas.openxmlformats.org/drawingml/2006/main">
                  <a:graphicData uri="http://schemas.microsoft.com/office/word/2010/wordprocessingShape">
                    <wps:wsp>
                      <wps:cNvCnPr>
                        <a:cxnSpLocks noChangeShapeType="1"/>
                      </wps:cNvCnPr>
                      <wps:spPr bwMode="auto">
                        <a:xfrm>
                          <a:off x="0" y="0"/>
                          <a:ext cx="0" cy="671195"/>
                        </a:xfrm>
                        <a:prstGeom prst="straightConnector1">
                          <a:avLst/>
                        </a:prstGeom>
                        <a:noFill/>
                        <a:ln w="9525">
                          <a:solidFill>
                            <a:srgbClr val="548DD4"/>
                          </a:solidFill>
                          <a:round/>
                          <a:tailEnd type="triangle" w="med" len="med"/>
                        </a:ln>
                      </wps:spPr>
                      <wps:bodyPr/>
                    </wps:wsp>
                  </a:graphicData>
                </a:graphic>
              </wp:anchor>
            </w:drawing>
          </mc:Choice>
          <mc:Fallback>
            <w:pict>
              <v:shape id="_x0000_s1026" o:spid="_x0000_s1026" o:spt="32" type="#_x0000_t32" style="position:absolute;left:0pt;margin-left:217.5pt;margin-top:14.35pt;height:52.85pt;width:0pt;z-index:251660288;mso-width-relative:page;mso-height-relative:page;" filled="f" stroked="t" coordsize="21600,21600" o:gfxdata="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hEsJdUAAAAKAQAADwAAAAAAAAABACAA&#10;AAAiAAAAZHJzL2Rvd25yZXYueG1sUEsBAhQAFAAAAAgAh07iQLXnAwUQAgAA7QMAAA4AAAAAAAAA&#10;AQAgAAAAJAEAAGRycy9lMm9Eb2MueG1sUEsFBgAAAAAGAAYAWQEAAKYFAAAAAA==&#10;">
                <v:fill on="f" focussize="0,0"/>
                <v:stroke color="#548DD4" joinstyle="round" endarrow="block"/>
                <v:imagedata o:title=""/>
                <o:lock v:ext="edit" aspectratio="f"/>
              </v:shape>
            </w:pict>
          </mc:Fallback>
        </mc:AlternateContent>
      </w:r>
    </w:p>
    <w:p w14:paraId="34C10136">
      <w:pPr>
        <w:spacing w:line="360" w:lineRule="auto"/>
        <w:ind w:firstLine="480" w:firstLineChars="200"/>
        <w:rPr>
          <w:rFonts w:hint="eastAsia" w:ascii="宋体" w:hAnsi="宋体"/>
          <w:color w:val="FF0000"/>
          <w:sz w:val="24"/>
        </w:rPr>
      </w:pPr>
      <w:r>
        <w:rPr>
          <w:rFonts w:ascii="宋体" w:hAnsi="宋体"/>
          <w:color w:val="FF0000"/>
          <w:sz w:val="24"/>
        </w:rPr>
        <mc:AlternateContent>
          <mc:Choice Requires="wps">
            <w:drawing>
              <wp:anchor distT="0" distB="0" distL="114300" distR="114300" simplePos="0" relativeHeight="251662336" behindDoc="0" locked="0" layoutInCell="1" allowOverlap="1">
                <wp:simplePos x="0" y="0"/>
                <wp:positionH relativeFrom="column">
                  <wp:posOffset>2762250</wp:posOffset>
                </wp:positionH>
                <wp:positionV relativeFrom="paragraph">
                  <wp:posOffset>137160</wp:posOffset>
                </wp:positionV>
                <wp:extent cx="714375" cy="0"/>
                <wp:effectExtent l="19050" t="60960" r="9525" b="53340"/>
                <wp:wrapNone/>
                <wp:docPr id="20" name="直接箭头连接符 20"/>
                <wp:cNvGraphicFramePr/>
                <a:graphic xmlns:a="http://schemas.openxmlformats.org/drawingml/2006/main">
                  <a:graphicData uri="http://schemas.microsoft.com/office/word/2010/wordprocessingShape">
                    <wps:wsp>
                      <wps:cNvCnPr>
                        <a:cxnSpLocks noChangeShapeType="1"/>
                      </wps:cNvCnPr>
                      <wps:spPr bwMode="auto">
                        <a:xfrm flipH="1">
                          <a:off x="0" y="0"/>
                          <a:ext cx="714375" cy="0"/>
                        </a:xfrm>
                        <a:prstGeom prst="straightConnector1">
                          <a:avLst/>
                        </a:prstGeom>
                        <a:noFill/>
                        <a:ln w="9525">
                          <a:solidFill>
                            <a:srgbClr val="0070C0"/>
                          </a:solidFill>
                          <a:round/>
                          <a:tailEnd type="triangle" w="med" len="med"/>
                        </a:ln>
                      </wps:spPr>
                      <wps:bodyPr/>
                    </wps:wsp>
                  </a:graphicData>
                </a:graphic>
              </wp:anchor>
            </w:drawing>
          </mc:Choice>
          <mc:Fallback>
            <w:pict>
              <v:shape id="_x0000_s1026" o:spid="_x0000_s1026" o:spt="32" type="#_x0000_t32" style="position:absolute;left:0pt;flip:x;margin-left:217.5pt;margin-top:10.8pt;height:0pt;width:56.25pt;z-index:251662336;mso-width-relative:page;mso-height-relative:page;" filled="f" stroked="t" coordsize="21600,21600" o:gfxdata="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nQo/NgAAAAJAQAADwAA&#10;AAAAAAABACAAAAAiAAAAZHJzL2Rvd25yZXYueG1sUEsBAhQAFAAAAAgAh07iQAfJ0CkWAgAA9wMA&#10;AA4AAAAAAAAAAQAgAAAAJwEAAGRycy9lMm9Eb2MueG1sUEsFBgAAAAAGAAYAWQEAAK8FAAAAAA==&#10;">
                <v:fill on="f" focussize="0,0"/>
                <v:stroke color="#0070C0" joinstyle="round" endarrow="block"/>
                <v:imagedata o:title=""/>
                <o:lock v:ext="edit" aspectratio="f"/>
              </v:shape>
            </w:pict>
          </mc:Fallback>
        </mc:AlternateContent>
      </w:r>
      <w:r>
        <w:rPr>
          <w:rFonts w:ascii="宋体" w:hAnsi="宋体"/>
          <w:color w:val="FF0000"/>
          <w:sz w:val="24"/>
        </w:rPr>
        <mc:AlternateContent>
          <mc:Choice Requires="wps">
            <w:drawing>
              <wp:anchor distT="0" distB="0" distL="114300" distR="114300" simplePos="0" relativeHeight="251661312" behindDoc="0" locked="0" layoutInCell="1" allowOverlap="1">
                <wp:simplePos x="0" y="0"/>
                <wp:positionH relativeFrom="column">
                  <wp:posOffset>2038350</wp:posOffset>
                </wp:positionH>
                <wp:positionV relativeFrom="paragraph">
                  <wp:posOffset>137160</wp:posOffset>
                </wp:positionV>
                <wp:extent cx="723900" cy="0"/>
                <wp:effectExtent l="9525" t="60960" r="19050" b="53340"/>
                <wp:wrapNone/>
                <wp:docPr id="19" name="直接箭头连接符 19"/>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straightConnector1">
                          <a:avLst/>
                        </a:prstGeom>
                        <a:noFill/>
                        <a:ln w="9525">
                          <a:solidFill>
                            <a:srgbClr val="0070C0"/>
                          </a:solidFill>
                          <a:round/>
                          <a:tailEnd type="triangle" w="med" len="med"/>
                        </a:ln>
                      </wps:spPr>
                      <wps:bodyPr/>
                    </wps:wsp>
                  </a:graphicData>
                </a:graphic>
              </wp:anchor>
            </w:drawing>
          </mc:Choice>
          <mc:Fallback>
            <w:pict>
              <v:shape id="_x0000_s1026" o:spid="_x0000_s1026" o:spt="32" type="#_x0000_t32" style="position:absolute;left:0pt;margin-left:160.5pt;margin-top:10.8pt;height:0pt;width:57pt;z-index:251661312;mso-width-relative:page;mso-height-relative:page;" filled="f" stroked="t" coordsize="21600,21600" o:gfxdata="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3Pw0ENcAAAAJAQAADwAAAAAAAAAB&#10;ACAAAAAiAAAAZHJzL2Rvd25yZXYueG1sUEsBAhQAFAAAAAgAh07iQKcKAGIRAgAA7QMAAA4AAAAA&#10;AAAAAQAgAAAAJgEAAGRycy9lMm9Eb2MueG1sUEsFBgAAAAAGAAYAWQEAAKkFAAAAAA==&#10;">
                <v:fill on="f" focussize="0,0"/>
                <v:stroke color="#0070C0" joinstyle="round" endarrow="block"/>
                <v:imagedata o:title=""/>
                <o:lock v:ext="edit" aspectratio="f"/>
              </v:shape>
            </w:pict>
          </mc:Fallback>
        </mc:AlternateContent>
      </w:r>
    </w:p>
    <w:p w14:paraId="6B5849F5">
      <w:pPr>
        <w:spacing w:line="360" w:lineRule="auto"/>
        <w:ind w:firstLine="480" w:firstLineChars="200"/>
        <w:rPr>
          <w:rFonts w:hint="eastAsia" w:ascii="宋体" w:hAnsi="宋体"/>
          <w:color w:val="FF0000"/>
          <w:sz w:val="24"/>
        </w:rPr>
      </w:pPr>
      <w:r>
        <w:rPr>
          <w:rFonts w:ascii="宋体" w:hAnsi="宋体"/>
          <w:color w:val="FF0000"/>
          <w:sz w:val="24"/>
        </w:rPr>
        <mc:AlternateContent>
          <mc:Choice Requires="wps">
            <w:drawing>
              <wp:anchor distT="0" distB="0" distL="114300" distR="114300" simplePos="0" relativeHeight="251664384" behindDoc="0" locked="0" layoutInCell="1" allowOverlap="1">
                <wp:simplePos x="0" y="0"/>
                <wp:positionH relativeFrom="column">
                  <wp:posOffset>2037715</wp:posOffset>
                </wp:positionH>
                <wp:positionV relativeFrom="paragraph">
                  <wp:posOffset>182245</wp:posOffset>
                </wp:positionV>
                <wp:extent cx="1438275" cy="748030"/>
                <wp:effectExtent l="0" t="0" r="28575" b="13970"/>
                <wp:wrapNone/>
                <wp:docPr id="18" name="矩形: 圆角 18"/>
                <wp:cNvGraphicFramePr/>
                <a:graphic xmlns:a="http://schemas.openxmlformats.org/drawingml/2006/main">
                  <a:graphicData uri="http://schemas.microsoft.com/office/word/2010/wordprocessingShape">
                    <wps:wsp>
                      <wps:cNvSpPr>
                        <a:spLocks noChangeArrowheads="1"/>
                      </wps:cNvSpPr>
                      <wps:spPr bwMode="auto">
                        <a:xfrm>
                          <a:off x="0" y="0"/>
                          <a:ext cx="1438275" cy="748177"/>
                        </a:xfrm>
                        <a:prstGeom prst="roundRect">
                          <a:avLst>
                            <a:gd name="adj" fmla="val 16667"/>
                          </a:avLst>
                        </a:prstGeom>
                        <a:solidFill>
                          <a:srgbClr val="FFFFFF"/>
                        </a:solidFill>
                        <a:ln w="9525">
                          <a:solidFill>
                            <a:srgbClr val="17365D"/>
                          </a:solidFill>
                          <a:round/>
                        </a:ln>
                      </wps:spPr>
                      <wps:txbx>
                        <w:txbxContent>
                          <w:p w14:paraId="5B7E67C6">
                            <w:pPr>
                              <w:spacing w:line="240" w:lineRule="exact"/>
                              <w:jc w:val="center"/>
                              <w:rPr>
                                <w:rFonts w:hint="eastAsia" w:ascii="黑体" w:hAnsi="黑体" w:eastAsia="黑体"/>
                                <w:szCs w:val="21"/>
                              </w:rPr>
                            </w:pPr>
                            <w:r>
                              <w:rPr>
                                <w:rFonts w:ascii="黑体" w:hAnsi="黑体" w:eastAsia="黑体"/>
                                <w:szCs w:val="21"/>
                              </w:rPr>
                              <w:t>项目经理</w:t>
                            </w:r>
                            <w:r>
                              <w:rPr>
                                <w:rFonts w:hint="eastAsia" w:ascii="黑体" w:hAnsi="黑体" w:eastAsia="黑体"/>
                                <w:szCs w:val="21"/>
                              </w:rPr>
                              <w:t>（总监代表）</w:t>
                            </w:r>
                          </w:p>
                          <w:p w14:paraId="1B5FEEAC">
                            <w:pPr>
                              <w:spacing w:line="240" w:lineRule="exact"/>
                              <w:jc w:val="center"/>
                              <w:rPr>
                                <w:rFonts w:hint="eastAsia" w:ascii="黑体" w:hAnsi="黑体" w:eastAsia="黑体"/>
                                <w:szCs w:val="21"/>
                              </w:rPr>
                            </w:pPr>
                            <w:r>
                              <w:rPr>
                                <w:rFonts w:hint="eastAsia" w:ascii="黑体" w:hAnsi="黑体" w:eastAsia="黑体"/>
                                <w:szCs w:val="21"/>
                              </w:rPr>
                              <w:t>赵文强</w:t>
                            </w:r>
                          </w:p>
                          <w:p w14:paraId="4A540ADC">
                            <w:pPr>
                              <w:spacing w:line="240" w:lineRule="exact"/>
                              <w:jc w:val="center"/>
                              <w:rPr>
                                <w:rFonts w:hint="eastAsia" w:ascii="黑体" w:hAnsi="黑体" w:eastAsia="黑体"/>
                                <w:szCs w:val="21"/>
                              </w:rPr>
                            </w:pPr>
                          </w:p>
                        </w:txbxContent>
                      </wps:txbx>
                      <wps:bodyPr rot="0" vert="horz" wrap="square" lIns="91440" tIns="45720" rIns="91440" bIns="45720" anchor="t" anchorCtr="0" upright="1">
                        <a:noAutofit/>
                      </wps:bodyPr>
                    </wps:wsp>
                  </a:graphicData>
                </a:graphic>
              </wp:anchor>
            </w:drawing>
          </mc:Choice>
          <mc:Fallback>
            <w:pict>
              <v:roundrect id="矩形: 圆角 18" o:spid="_x0000_s1026" o:spt="2" style="position:absolute;left:0pt;margin-left:160.45pt;margin-top:14.35pt;height:58.9pt;width:113.25pt;z-index:251664384;mso-width-relative:page;mso-height-relative:page;" fillcolor="#FFFFFF" filled="t" stroked="t" coordsize="21600,21600" arcsize="0.166666666666667" o:gfxdata="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w&#10;2XmR1wAAAAoBAAAPAAAAAAAAAAEAIAAAACIAAABkcnMvZG93bnJldi54bWxQSwECFAAUAAAACACH&#10;TuJAX59X3F4CAACoBAAADgAAAAAAAAABACAAAAAmAQAAZHJzL2Uyb0RvYy54bWxQSwUGAAAAAAYA&#10;BgBZAQAA9gUAAAAA&#10;">
                <v:fill on="t" focussize="0,0"/>
                <v:stroke color="#17365D" joinstyle="round"/>
                <v:imagedata o:title=""/>
                <o:lock v:ext="edit" aspectratio="f"/>
                <v:textbox>
                  <w:txbxContent>
                    <w:p w14:paraId="5B7E67C6">
                      <w:pPr>
                        <w:spacing w:line="240" w:lineRule="exact"/>
                        <w:jc w:val="center"/>
                        <w:rPr>
                          <w:rFonts w:hint="eastAsia" w:ascii="黑体" w:hAnsi="黑体" w:eastAsia="黑体"/>
                          <w:szCs w:val="21"/>
                        </w:rPr>
                      </w:pPr>
                      <w:r>
                        <w:rPr>
                          <w:rFonts w:ascii="黑体" w:hAnsi="黑体" w:eastAsia="黑体"/>
                          <w:szCs w:val="21"/>
                        </w:rPr>
                        <w:t>项目经理</w:t>
                      </w:r>
                      <w:r>
                        <w:rPr>
                          <w:rFonts w:hint="eastAsia" w:ascii="黑体" w:hAnsi="黑体" w:eastAsia="黑体"/>
                          <w:szCs w:val="21"/>
                        </w:rPr>
                        <w:t>（总监代表）</w:t>
                      </w:r>
                    </w:p>
                    <w:p w14:paraId="1B5FEEAC">
                      <w:pPr>
                        <w:spacing w:line="240" w:lineRule="exact"/>
                        <w:jc w:val="center"/>
                        <w:rPr>
                          <w:rFonts w:hint="eastAsia" w:ascii="黑体" w:hAnsi="黑体" w:eastAsia="黑体"/>
                          <w:szCs w:val="21"/>
                        </w:rPr>
                      </w:pPr>
                      <w:r>
                        <w:rPr>
                          <w:rFonts w:hint="eastAsia" w:ascii="黑体" w:hAnsi="黑体" w:eastAsia="黑体"/>
                          <w:szCs w:val="21"/>
                        </w:rPr>
                        <w:t>赵文强</w:t>
                      </w:r>
                    </w:p>
                    <w:p w14:paraId="4A540ADC">
                      <w:pPr>
                        <w:spacing w:line="240" w:lineRule="exact"/>
                        <w:jc w:val="center"/>
                        <w:rPr>
                          <w:rFonts w:hint="eastAsia" w:ascii="黑体" w:hAnsi="黑体" w:eastAsia="黑体"/>
                          <w:szCs w:val="21"/>
                        </w:rPr>
                      </w:pPr>
                    </w:p>
                  </w:txbxContent>
                </v:textbox>
              </v:roundrect>
            </w:pict>
          </mc:Fallback>
        </mc:AlternateContent>
      </w:r>
    </w:p>
    <w:p w14:paraId="351A37F0">
      <w:pPr>
        <w:spacing w:line="360" w:lineRule="auto"/>
        <w:ind w:firstLine="480" w:firstLineChars="200"/>
        <w:rPr>
          <w:rFonts w:hint="eastAsia" w:ascii="宋体" w:hAnsi="宋体"/>
          <w:color w:val="FF0000"/>
          <w:sz w:val="24"/>
        </w:rPr>
      </w:pPr>
    </w:p>
    <w:p w14:paraId="49E0B672">
      <w:pPr>
        <w:spacing w:line="360" w:lineRule="auto"/>
        <w:ind w:firstLine="480" w:firstLineChars="200"/>
        <w:rPr>
          <w:rFonts w:hint="eastAsia" w:ascii="宋体" w:hAnsi="宋体"/>
          <w:color w:val="FF0000"/>
          <w:sz w:val="24"/>
        </w:rPr>
      </w:pPr>
    </w:p>
    <w:p w14:paraId="4CC41F76">
      <w:pPr>
        <w:spacing w:line="360" w:lineRule="auto"/>
        <w:ind w:firstLine="480" w:firstLineChars="200"/>
        <w:rPr>
          <w:rFonts w:hint="eastAsia" w:ascii="宋体" w:hAnsi="宋体"/>
          <w:color w:val="FF0000"/>
          <w:sz w:val="24"/>
        </w:rPr>
      </w:pPr>
      <w:r>
        <w:rPr>
          <w:rFonts w:hint="eastAsia" w:ascii="宋体" w:hAnsi="宋体"/>
          <w:color w:val="FF0000"/>
          <w:sz w:val="24"/>
        </w:rPr>
        <mc:AlternateContent>
          <mc:Choice Requires="wps">
            <w:drawing>
              <wp:anchor distT="0" distB="0" distL="114300" distR="114300" simplePos="0" relativeHeight="251667456" behindDoc="0" locked="0" layoutInCell="1" allowOverlap="1">
                <wp:simplePos x="0" y="0"/>
                <wp:positionH relativeFrom="column">
                  <wp:posOffset>2750820</wp:posOffset>
                </wp:positionH>
                <wp:positionV relativeFrom="paragraph">
                  <wp:posOffset>44450</wp:posOffset>
                </wp:positionV>
                <wp:extent cx="45720" cy="502920"/>
                <wp:effectExtent l="38100" t="0" r="69215" b="50165"/>
                <wp:wrapNone/>
                <wp:docPr id="364808937" name="直接箭头连接符 12"/>
                <wp:cNvGraphicFramePr/>
                <a:graphic xmlns:a="http://schemas.openxmlformats.org/drawingml/2006/main">
                  <a:graphicData uri="http://schemas.microsoft.com/office/word/2010/wordprocessingShape">
                    <wps:wsp>
                      <wps:cNvCnPr/>
                      <wps:spPr>
                        <a:xfrm>
                          <a:off x="0" y="0"/>
                          <a:ext cx="45719" cy="5026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12" o:spid="_x0000_s1026" o:spt="32" type="#_x0000_t32" style="position:absolute;left:0pt;margin-left:216.6pt;margin-top:3.5pt;height:39.6pt;width:3.6pt;z-index:251667456;mso-width-relative:page;mso-height-relative:page;" filled="f" stroked="t" coordsize="21600,21600" o:gfxdata="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219h7tkAAAAIAQAADwAAAAAAAAABACAAAAAiAAAAZHJzL2Rvd25yZXYueG1sUEsBAhQAFAAAAAgA&#10;h07iQBIwXn0kAgAADwQAAA4AAAAAAAAAAQAgAAAAKAEAAGRycy9lMm9Eb2MueG1sUEsFBgAAAAAG&#10;AAYAWQEAAL4FAAAAAA==&#10;">
                <v:fill on="f" focussize="0,0"/>
                <v:stroke color="#4A7EBB [3204]" joinstyle="round" endarrow="block"/>
                <v:imagedata o:title=""/>
                <o:lock v:ext="edit" aspectratio="f"/>
              </v:shape>
            </w:pict>
          </mc:Fallback>
        </mc:AlternateContent>
      </w:r>
    </w:p>
    <w:p w14:paraId="1AF7C8DD">
      <w:pPr>
        <w:spacing w:line="360" w:lineRule="auto"/>
        <w:ind w:firstLine="480" w:firstLineChars="200"/>
        <w:rPr>
          <w:rFonts w:hint="eastAsia" w:ascii="宋体" w:hAnsi="宋体"/>
          <w:color w:val="FF0000"/>
          <w:sz w:val="24"/>
        </w:rPr>
      </w:pPr>
      <w:r>
        <w:rPr>
          <w:rFonts w:ascii="宋体" w:hAnsi="宋体"/>
          <w:color w:val="FF0000"/>
          <w:sz w:val="24"/>
        </w:rPr>
        <mc:AlternateContent>
          <mc:Choice Requires="wps">
            <w:drawing>
              <wp:anchor distT="0" distB="0" distL="114300" distR="114300" simplePos="0" relativeHeight="251666432" behindDoc="0" locked="0" layoutInCell="1" allowOverlap="1">
                <wp:simplePos x="0" y="0"/>
                <wp:positionH relativeFrom="column">
                  <wp:posOffset>1996440</wp:posOffset>
                </wp:positionH>
                <wp:positionV relativeFrom="paragraph">
                  <wp:posOffset>287020</wp:posOffset>
                </wp:positionV>
                <wp:extent cx="1595755" cy="502285"/>
                <wp:effectExtent l="0" t="0" r="24130" b="12065"/>
                <wp:wrapNone/>
                <wp:docPr id="10" name="矩形: 圆角 10"/>
                <wp:cNvGraphicFramePr/>
                <a:graphic xmlns:a="http://schemas.openxmlformats.org/drawingml/2006/main">
                  <a:graphicData uri="http://schemas.microsoft.com/office/word/2010/wordprocessingShape">
                    <wps:wsp>
                      <wps:cNvSpPr>
                        <a:spLocks noChangeArrowheads="1"/>
                      </wps:cNvSpPr>
                      <wps:spPr bwMode="auto">
                        <a:xfrm>
                          <a:off x="0" y="0"/>
                          <a:ext cx="1595558" cy="502285"/>
                        </a:xfrm>
                        <a:prstGeom prst="roundRect">
                          <a:avLst>
                            <a:gd name="adj" fmla="val 16667"/>
                          </a:avLst>
                        </a:prstGeom>
                        <a:solidFill>
                          <a:srgbClr val="FFFFFF"/>
                        </a:solidFill>
                        <a:ln w="9525">
                          <a:solidFill>
                            <a:srgbClr val="17365D"/>
                          </a:solidFill>
                          <a:round/>
                        </a:ln>
                      </wps:spPr>
                      <wps:txbx>
                        <w:txbxContent>
                          <w:p w14:paraId="252D11C6">
                            <w:pPr>
                              <w:spacing w:line="240" w:lineRule="exact"/>
                              <w:jc w:val="center"/>
                              <w:rPr>
                                <w:rFonts w:hint="eastAsia" w:ascii="黑体" w:hAnsi="黑体" w:eastAsia="黑体"/>
                                <w:szCs w:val="21"/>
                              </w:rPr>
                            </w:pPr>
                            <w:r>
                              <w:rPr>
                                <w:rFonts w:ascii="黑体" w:hAnsi="黑体" w:eastAsia="黑体"/>
                                <w:szCs w:val="21"/>
                              </w:rPr>
                              <w:t>设备监理师</w:t>
                            </w:r>
                          </w:p>
                          <w:p w14:paraId="69B53600">
                            <w:pPr>
                              <w:pStyle w:val="2"/>
                              <w:jc w:val="center"/>
                              <w:rPr>
                                <w:rFonts w:hint="eastAsia" w:ascii="黑体" w:hAnsi="黑体" w:eastAsia="黑体"/>
                                <w:szCs w:val="21"/>
                              </w:rPr>
                            </w:pPr>
                            <w:r>
                              <w:rPr>
                                <w:rFonts w:hint="eastAsia" w:ascii="黑体" w:hAnsi="黑体" w:eastAsia="黑体"/>
                                <w:szCs w:val="21"/>
                              </w:rPr>
                              <w:t>田培山</w:t>
                            </w:r>
                          </w:p>
                        </w:txbxContent>
                      </wps:txbx>
                      <wps:bodyPr rot="0" vert="horz" wrap="square" lIns="91440" tIns="45720" rIns="91440" bIns="45720" anchor="t" anchorCtr="0" upright="1">
                        <a:noAutofit/>
                      </wps:bodyPr>
                    </wps:wsp>
                  </a:graphicData>
                </a:graphic>
              </wp:anchor>
            </w:drawing>
          </mc:Choice>
          <mc:Fallback>
            <w:pict>
              <v:roundrect id="矩形: 圆角 10" o:spid="_x0000_s1026" o:spt="2" style="position:absolute;left:0pt;margin-left:157.2pt;margin-top:22.6pt;height:39.55pt;width:125.65pt;z-index:251666432;mso-width-relative:page;mso-height-relative:page;" fillcolor="#FFFFFF" filled="t" stroked="t" coordsize="21600,21600" arcsize="0.166666666666667" o:gfxdata="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E&#10;8Zy81wAAAAoBAAAPAAAAAAAAAAEAIAAAACIAAABkcnMvZG93bnJldi54bWxQSwECFAAUAAAACACH&#10;TuJAGatQBl4CAACoBAAADgAAAAAAAAABACAAAAAmAQAAZHJzL2Uyb0RvYy54bWxQSwUGAAAAAAYA&#10;BgBZAQAA9gUAAAAA&#10;">
                <v:fill on="t" focussize="0,0"/>
                <v:stroke color="#17365D" joinstyle="round"/>
                <v:imagedata o:title=""/>
                <o:lock v:ext="edit" aspectratio="f"/>
                <v:textbox>
                  <w:txbxContent>
                    <w:p w14:paraId="252D11C6">
                      <w:pPr>
                        <w:spacing w:line="240" w:lineRule="exact"/>
                        <w:jc w:val="center"/>
                        <w:rPr>
                          <w:rFonts w:hint="eastAsia" w:ascii="黑体" w:hAnsi="黑体" w:eastAsia="黑体"/>
                          <w:szCs w:val="21"/>
                        </w:rPr>
                      </w:pPr>
                      <w:r>
                        <w:rPr>
                          <w:rFonts w:ascii="黑体" w:hAnsi="黑体" w:eastAsia="黑体"/>
                          <w:szCs w:val="21"/>
                        </w:rPr>
                        <w:t>设备监理师</w:t>
                      </w:r>
                    </w:p>
                    <w:p w14:paraId="69B53600">
                      <w:pPr>
                        <w:pStyle w:val="2"/>
                        <w:jc w:val="center"/>
                        <w:rPr>
                          <w:rFonts w:hint="eastAsia" w:ascii="黑体" w:hAnsi="黑体" w:eastAsia="黑体"/>
                          <w:szCs w:val="21"/>
                        </w:rPr>
                      </w:pPr>
                      <w:r>
                        <w:rPr>
                          <w:rFonts w:hint="eastAsia" w:ascii="黑体" w:hAnsi="黑体" w:eastAsia="黑体"/>
                          <w:szCs w:val="21"/>
                        </w:rPr>
                        <w:t>田培山</w:t>
                      </w:r>
                    </w:p>
                  </w:txbxContent>
                </v:textbox>
              </v:roundrect>
            </w:pict>
          </mc:Fallback>
        </mc:AlternateContent>
      </w:r>
    </w:p>
    <w:p w14:paraId="2EE17557">
      <w:pPr>
        <w:spacing w:line="360" w:lineRule="auto"/>
        <w:ind w:firstLine="480" w:firstLineChars="200"/>
        <w:rPr>
          <w:rFonts w:hint="eastAsia" w:ascii="宋体" w:hAnsi="宋体"/>
          <w:color w:val="FF0000"/>
          <w:sz w:val="24"/>
        </w:rPr>
      </w:pPr>
    </w:p>
    <w:p w14:paraId="1A5F6725">
      <w:pPr>
        <w:spacing w:line="360" w:lineRule="auto"/>
        <w:ind w:firstLine="480" w:firstLineChars="200"/>
        <w:rPr>
          <w:rFonts w:hint="eastAsia" w:ascii="宋体" w:hAnsi="宋体"/>
          <w:color w:val="FF0000"/>
          <w:sz w:val="24"/>
        </w:rPr>
      </w:pPr>
    </w:p>
    <w:p w14:paraId="5904B66E">
      <w:pPr>
        <w:spacing w:line="360" w:lineRule="auto"/>
        <w:ind w:firstLine="480" w:firstLineChars="200"/>
        <w:rPr>
          <w:rFonts w:hint="eastAsia" w:ascii="宋体" w:hAnsi="宋体"/>
          <w:sz w:val="24"/>
        </w:rPr>
      </w:pPr>
      <w:r>
        <w:rPr>
          <w:rFonts w:hint="eastAsia" w:ascii="宋体" w:hAnsi="宋体"/>
          <w:sz w:val="24"/>
        </w:rPr>
        <w:t>根据制造单位生产的具体情况及用户的要求，配备相应数量的监造工程师，对于重要的外协外购件按约定安排监造工程师进行现场监造，结合监理工作的需要组成监理组。</w:t>
      </w:r>
    </w:p>
    <w:p w14:paraId="24D77873">
      <w:pPr>
        <w:spacing w:line="360" w:lineRule="auto"/>
        <w:ind w:firstLine="480" w:firstLineChars="200"/>
        <w:rPr>
          <w:rFonts w:hint="eastAsia" w:ascii="宋体" w:hAnsi="宋体"/>
          <w:sz w:val="24"/>
        </w:rPr>
      </w:pPr>
      <w:r>
        <w:rPr>
          <w:rFonts w:hint="eastAsia" w:ascii="宋体" w:hAnsi="宋体"/>
          <w:sz w:val="24"/>
        </w:rPr>
        <w:t>监造工程师应挑选检验过该类设备经验丰富、责任心强的在本单位注册执业的监造工程师担任，至少有二年（或以上）的监造业务经验，在相应专业岗位工作三年以上。监造工程师应相对固定，更换人员要取得委托方同意。项目经理原则上一抓到底，中途不更换。</w:t>
      </w:r>
    </w:p>
    <w:p w14:paraId="79348920">
      <w:pPr>
        <w:spacing w:line="360" w:lineRule="auto"/>
        <w:ind w:firstLine="480" w:firstLineChars="200"/>
        <w:rPr>
          <w:rFonts w:hint="eastAsia" w:ascii="宋体" w:hAnsi="宋体"/>
          <w:color w:val="FF0000"/>
          <w:sz w:val="24"/>
        </w:rPr>
      </w:pPr>
      <w:r>
        <w:rPr>
          <w:rFonts w:hint="eastAsia" w:ascii="宋体" w:hAnsi="宋体"/>
          <w:sz w:val="24"/>
        </w:rPr>
        <w:t>本次监造工程师信息如下：</w:t>
      </w:r>
      <w:r>
        <w:rPr>
          <w:rFonts w:ascii="宋体" w:hAnsi="宋体"/>
          <w:color w:val="FF0000"/>
          <w:sz w:val="24"/>
        </w:rPr>
        <w:t xml:space="preserve"> </w:t>
      </w:r>
    </w:p>
    <w:tbl>
      <w:tblPr>
        <w:tblStyle w:val="33"/>
        <w:tblW w:w="8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4"/>
        <w:gridCol w:w="1276"/>
        <w:gridCol w:w="1036"/>
        <w:gridCol w:w="2150"/>
        <w:gridCol w:w="1775"/>
        <w:gridCol w:w="1985"/>
      </w:tblGrid>
      <w:tr w14:paraId="2E0E3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744" w:type="dxa"/>
            <w:vAlign w:val="center"/>
          </w:tcPr>
          <w:p>
            <w:r>
              <w:rPr>
                <w:rFonts w:ascii="宋体" w:hAnsi="宋体" w:eastAsia="宋体"/>
                <w:sz w:val="21"/>
              </w:rPr>
              <w:t>No</w:t>
            </w:r>
          </w:p>
        </w:tc>
        <w:tc>
          <w:tcPr>
            <w:tcW w:w="1276" w:type="dxa"/>
            <w:vAlign w:val="center"/>
          </w:tcPr>
          <w:p>
            <w:r>
              <w:rPr>
                <w:rFonts w:ascii="宋体" w:hAnsi="宋体" w:eastAsia="宋体"/>
                <w:sz w:val="21"/>
              </w:rPr>
              <w:t>监造地点</w:t>
            </w:r>
          </w:p>
        </w:tc>
        <w:tc>
          <w:tcPr>
            <w:tcW w:w="1036" w:type="dxa"/>
            <w:vAlign w:val="center"/>
          </w:tcPr>
          <w:p>
            <w:r>
              <w:rPr>
                <w:rFonts w:ascii="宋体" w:hAnsi="宋体" w:eastAsia="宋体"/>
                <w:sz w:val="21"/>
              </w:rPr>
              <w:t>监造方式</w:t>
            </w:r>
          </w:p>
        </w:tc>
        <w:tc>
          <w:tcPr>
            <w:tcW w:w="2150" w:type="dxa"/>
            <w:vAlign w:val="center"/>
          </w:tcPr>
          <w:p>
            <w:r>
              <w:rPr>
                <w:rFonts w:ascii="宋体" w:hAnsi="宋体" w:eastAsia="宋体"/>
                <w:sz w:val="21"/>
              </w:rPr>
              <w:t>监造工程师</w:t>
            </w:r>
          </w:p>
        </w:tc>
        <w:tc>
          <w:tcPr>
            <w:tcW w:w="1775" w:type="dxa"/>
            <w:vAlign w:val="center"/>
          </w:tcPr>
          <w:p>
            <w:r>
              <w:rPr>
                <w:rFonts w:ascii="宋体" w:hAnsi="宋体" w:eastAsia="宋体"/>
                <w:sz w:val="21"/>
              </w:rPr>
              <w:t>项目经理</w:t>
            </w:r>
          </w:p>
        </w:tc>
        <w:tc>
          <w:tcPr>
            <w:tcW w:w="1985" w:type="dxa"/>
            <w:vAlign w:val="center"/>
          </w:tcPr>
          <w:p>
            <w:r>
              <w:rPr>
                <w:rFonts w:ascii="宋体" w:hAnsi="宋体" w:eastAsia="宋体"/>
                <w:sz w:val="21"/>
              </w:rPr>
              <w:t>项目总监</w:t>
            </w:r>
          </w:p>
        </w:tc>
      </w:tr>
      <w:tr w14:paraId="5C95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744" w:type="dxa"/>
            <w:vAlign w:val="center"/>
          </w:tcPr>
          <w:p>
            <w:r>
              <w:rPr>
                <w:rFonts w:ascii="宋体" w:hAnsi="宋体" w:eastAsia="宋体"/>
                <w:sz w:val="21"/>
              </w:rPr>
              <w:t>1</w:t>
            </w:r>
          </w:p>
        </w:tc>
        <w:tc>
          <w:tcPr>
            <w:tcW w:w="1276" w:type="dxa"/>
            <w:vAlign w:val="center"/>
          </w:tcPr>
          <w:p>
            <w:r>
              <w:rPr>
                <w:rFonts w:ascii="宋体" w:hAnsi="宋体" w:eastAsia="宋体"/>
                <w:sz w:val="21"/>
              </w:rPr>
              <w:t>江苏中圣压力容器装备制造有限公司</w:t>
            </w:r>
          </w:p>
        </w:tc>
        <w:tc>
          <w:tcPr>
            <w:tcW w:w="1036" w:type="dxa"/>
            <w:vAlign w:val="center"/>
          </w:tcPr>
          <w:p>
            <w:r>
              <w:rPr>
                <w:rFonts w:ascii="宋体" w:hAnsi="宋体" w:eastAsia="宋体"/>
                <w:sz w:val="21"/>
              </w:rPr>
              <w:t>驻厂</w:t>
            </w:r>
          </w:p>
        </w:tc>
        <w:tc>
          <w:tcPr>
            <w:tcW w:w="2150" w:type="dxa"/>
            <w:vAlign w:val="center"/>
          </w:tcPr>
          <w:p>
            <w:r>
              <w:rPr>
                <w:rFonts w:ascii="宋体" w:hAnsi="宋体" w:eastAsia="宋体"/>
                <w:sz w:val="21"/>
              </w:rPr>
            </w:r>
          </w:p>
        </w:tc>
        <w:tc>
          <w:tcPr>
            <w:tcW w:w="1775" w:type="dxa"/>
            <w:vAlign w:val="center"/>
          </w:tcPr>
          <w:p>
            <w:r>
              <w:rPr>
                <w:rFonts w:ascii="宋体" w:hAnsi="宋体" w:eastAsia="宋体"/>
                <w:sz w:val="21"/>
              </w:rPr>
            </w:r>
          </w:p>
        </w:tc>
        <w:tc>
          <w:tcPr>
            <w:tcW w:w="1985" w:type="dxa"/>
            <w:vAlign w:val="center"/>
          </w:tcPr>
          <w:p>
            <w:r>
              <w:rPr>
                <w:rFonts w:ascii="宋体" w:hAnsi="宋体" w:eastAsia="宋体"/>
                <w:sz w:val="21"/>
              </w:rPr>
            </w:r>
          </w:p>
        </w:tc>
      </w:tr>
    </w:tbl>
    <w:p w14:paraId="75061F87">
      <w:pPr>
        <w:pStyle w:val="60"/>
        <w:numPr>
          <w:ilvl w:val="0"/>
          <w:numId w:val="1"/>
        </w:numPr>
        <w:spacing w:line="360" w:lineRule="auto"/>
        <w:ind w:firstLineChars="0"/>
        <w:outlineLvl w:val="0"/>
        <w:rPr>
          <w:rFonts w:hint="eastAsia" w:ascii="宋体" w:hAnsi="宋体"/>
          <w:b/>
          <w:sz w:val="24"/>
        </w:rPr>
      </w:pPr>
      <w:bookmarkStart w:id="15" w:name="_Toc176165878"/>
      <w:bookmarkStart w:id="16" w:name="_Toc102238044"/>
      <w:r>
        <w:rPr>
          <w:rFonts w:hint="eastAsia" w:ascii="宋体" w:hAnsi="宋体"/>
          <w:b/>
          <w:sz w:val="24"/>
        </w:rPr>
        <w:t>监造人员的工作职责</w:t>
      </w:r>
      <w:bookmarkEnd w:id="15"/>
      <w:bookmarkEnd w:id="16"/>
    </w:p>
    <w:p w14:paraId="06F47722">
      <w:pPr>
        <w:spacing w:line="360" w:lineRule="auto"/>
        <w:ind w:firstLine="480" w:firstLineChars="200"/>
        <w:rPr>
          <w:rFonts w:hint="eastAsia" w:ascii="宋体" w:hAnsi="宋体"/>
          <w:sz w:val="24"/>
        </w:rPr>
      </w:pPr>
      <w:r>
        <w:rPr>
          <w:rFonts w:ascii="宋体" w:hAnsi="宋体"/>
          <w:sz w:val="24"/>
        </w:rPr>
        <w:t>1</w:t>
      </w:r>
      <w:r>
        <w:rPr>
          <w:rFonts w:hint="eastAsia" w:ascii="宋体" w:hAnsi="宋体"/>
          <w:sz w:val="24"/>
        </w:rPr>
        <w:t>、项目经理对派出的监理工程师进行安全教育和岗前培训，并向公司申请签发《监造任务派遣单》。</w:t>
      </w:r>
    </w:p>
    <w:p w14:paraId="6B8AF4D8">
      <w:pPr>
        <w:spacing w:line="360" w:lineRule="auto"/>
        <w:ind w:firstLine="480" w:firstLineChars="200"/>
        <w:rPr>
          <w:rFonts w:hint="eastAsia" w:ascii="宋体" w:hAnsi="宋体"/>
          <w:sz w:val="24"/>
        </w:rPr>
      </w:pPr>
      <w:r>
        <w:rPr>
          <w:rFonts w:hint="eastAsia" w:ascii="宋体" w:hAnsi="宋体"/>
          <w:sz w:val="24"/>
        </w:rPr>
        <w:t>2、监造工程师在项目经理的组织指导下，严格依据监造委托合同，履行监造职责，完成监造任务。</w:t>
      </w:r>
    </w:p>
    <w:p w14:paraId="4CDFE3BA">
      <w:pPr>
        <w:spacing w:line="360" w:lineRule="auto"/>
        <w:ind w:firstLine="480" w:firstLineChars="200"/>
        <w:rPr>
          <w:rFonts w:hint="eastAsia" w:ascii="宋体" w:hAnsi="宋体"/>
          <w:sz w:val="24"/>
        </w:rPr>
      </w:pPr>
      <w:r>
        <w:rPr>
          <w:rFonts w:ascii="宋体" w:hAnsi="宋体"/>
          <w:sz w:val="24"/>
        </w:rPr>
        <w:t>3</w:t>
      </w:r>
      <w:r>
        <w:rPr>
          <w:rFonts w:hint="eastAsia" w:ascii="宋体" w:hAnsi="宋体"/>
          <w:sz w:val="24"/>
        </w:rPr>
        <w:t>、监造工程师应熟悉监造物资的制造工艺，掌握制造过程中的质量技术要求和检验试验关键控制点，全面掌握设备制造进度。</w:t>
      </w:r>
    </w:p>
    <w:p w14:paraId="443027B8">
      <w:pPr>
        <w:spacing w:line="360" w:lineRule="auto"/>
        <w:ind w:firstLine="480" w:firstLineChars="200"/>
        <w:rPr>
          <w:rFonts w:hint="eastAsia" w:ascii="宋体" w:hAnsi="宋体"/>
          <w:sz w:val="24"/>
        </w:rPr>
      </w:pPr>
      <w:r>
        <w:rPr>
          <w:rFonts w:ascii="宋体" w:hAnsi="宋体"/>
          <w:sz w:val="24"/>
        </w:rPr>
        <w:t>4</w:t>
      </w:r>
      <w:r>
        <w:rPr>
          <w:rFonts w:hint="eastAsia" w:ascii="宋体" w:hAnsi="宋体"/>
          <w:sz w:val="24"/>
        </w:rPr>
        <w:t>、监造工程师应了解制造单位的质量保证措施和执行情况，了解加工过程的中间检查和主要零部件的装配和试验情况。</w:t>
      </w:r>
    </w:p>
    <w:p w14:paraId="06708CD2">
      <w:pPr>
        <w:spacing w:line="360" w:lineRule="auto"/>
        <w:ind w:firstLine="480" w:firstLineChars="200"/>
        <w:rPr>
          <w:rFonts w:hint="eastAsia" w:ascii="宋体" w:hAnsi="宋体"/>
          <w:sz w:val="24"/>
        </w:rPr>
      </w:pPr>
      <w:r>
        <w:rPr>
          <w:rFonts w:ascii="宋体" w:hAnsi="宋体"/>
          <w:sz w:val="24"/>
        </w:rPr>
        <w:t>5</w:t>
      </w:r>
      <w:r>
        <w:rPr>
          <w:rFonts w:hint="eastAsia" w:ascii="宋体" w:hAnsi="宋体"/>
          <w:sz w:val="24"/>
        </w:rPr>
        <w:t>、监造工程师应了解合同设备的设计变更内容和制造跟进情况。</w:t>
      </w:r>
    </w:p>
    <w:p w14:paraId="26D71900">
      <w:pPr>
        <w:spacing w:line="360" w:lineRule="auto"/>
        <w:ind w:firstLine="480" w:firstLineChars="200"/>
        <w:rPr>
          <w:rFonts w:hint="eastAsia" w:ascii="宋体" w:hAnsi="宋体"/>
          <w:sz w:val="24"/>
        </w:rPr>
      </w:pPr>
      <w:r>
        <w:rPr>
          <w:rFonts w:ascii="宋体" w:hAnsi="宋体"/>
          <w:sz w:val="24"/>
        </w:rPr>
        <w:t>6</w:t>
      </w:r>
      <w:r>
        <w:rPr>
          <w:rFonts w:hint="eastAsia" w:ascii="宋体" w:hAnsi="宋体"/>
          <w:sz w:val="24"/>
        </w:rPr>
        <w:t>、监造工程师负责监理记录的填写及检验数据的收集和整理，监理报告的编制，并对监理记录和监理报告的真实性、正确性、完整性负责。</w:t>
      </w:r>
    </w:p>
    <w:p w14:paraId="24E6DE22">
      <w:pPr>
        <w:spacing w:line="360" w:lineRule="auto"/>
        <w:ind w:firstLine="480" w:firstLineChars="200"/>
        <w:rPr>
          <w:rFonts w:hint="eastAsia" w:ascii="宋体" w:hAnsi="宋体"/>
          <w:sz w:val="24"/>
        </w:rPr>
      </w:pPr>
      <w:r>
        <w:rPr>
          <w:rFonts w:ascii="宋体" w:hAnsi="宋体"/>
          <w:sz w:val="24"/>
        </w:rPr>
        <w:t>7</w:t>
      </w:r>
      <w:r>
        <w:rPr>
          <w:rFonts w:hint="eastAsia" w:ascii="宋体" w:hAnsi="宋体"/>
          <w:sz w:val="24"/>
        </w:rPr>
        <w:t>、监造工程师履行产品预装、总装、出厂检验见证和签证手续。</w:t>
      </w:r>
    </w:p>
    <w:p w14:paraId="47E47C9E">
      <w:pPr>
        <w:spacing w:line="360" w:lineRule="auto"/>
        <w:ind w:firstLine="480" w:firstLineChars="200"/>
        <w:rPr>
          <w:rFonts w:hint="eastAsia" w:ascii="宋体" w:hAnsi="宋体"/>
          <w:sz w:val="24"/>
        </w:rPr>
      </w:pPr>
      <w:r>
        <w:rPr>
          <w:rFonts w:ascii="宋体" w:hAnsi="宋体"/>
          <w:sz w:val="24"/>
        </w:rPr>
        <w:t>8</w:t>
      </w:r>
      <w:r>
        <w:rPr>
          <w:rFonts w:hint="eastAsia" w:ascii="宋体" w:hAnsi="宋体"/>
          <w:sz w:val="24"/>
        </w:rPr>
        <w:t>、监造工程师负责汇报设备制造过程中发现的质量问题，如发现质量隐患、质量问题以及可能影响交货期的重大因素时，应及时报委托方，并以书面形式通知制造厂，要求制造厂采购有效措施予以整改，若制造厂延误或拒绝整改时，可责令其停工。</w:t>
      </w:r>
    </w:p>
    <w:p w14:paraId="238D9111">
      <w:pPr>
        <w:spacing w:line="360" w:lineRule="auto"/>
        <w:ind w:firstLine="480" w:firstLineChars="200"/>
        <w:rPr>
          <w:rFonts w:hint="eastAsia" w:ascii="宋体" w:hAnsi="宋体"/>
          <w:sz w:val="24"/>
        </w:rPr>
      </w:pPr>
      <w:r>
        <w:rPr>
          <w:rFonts w:ascii="宋体" w:hAnsi="宋体"/>
          <w:sz w:val="24"/>
        </w:rPr>
        <w:t>9</w:t>
      </w:r>
      <w:r>
        <w:rPr>
          <w:rFonts w:hint="eastAsia" w:ascii="宋体" w:hAnsi="宋体"/>
          <w:sz w:val="24"/>
        </w:rPr>
        <w:t>、监造工程师应在开始监造的1</w:t>
      </w:r>
      <w:r>
        <w:rPr>
          <w:rFonts w:ascii="宋体" w:hAnsi="宋体"/>
          <w:sz w:val="24"/>
        </w:rPr>
        <w:t>0</w:t>
      </w:r>
      <w:r>
        <w:rPr>
          <w:rFonts w:hint="eastAsia" w:ascii="宋体" w:hAnsi="宋体"/>
          <w:sz w:val="24"/>
        </w:rPr>
        <w:t>个工作日内，对制造厂的人员资质、生产工艺、装备能力和质保体系情况进行检查和评估，并向委托方提供质量风险评估报告，明确风险等级（高、中、低）。</w:t>
      </w:r>
    </w:p>
    <w:p w14:paraId="09030096">
      <w:pPr>
        <w:spacing w:line="360" w:lineRule="auto"/>
        <w:ind w:firstLine="480" w:firstLineChars="200"/>
        <w:rPr>
          <w:rFonts w:hint="eastAsia" w:ascii="宋体" w:hAnsi="宋体"/>
          <w:sz w:val="24"/>
        </w:rPr>
      </w:pPr>
      <w:r>
        <w:rPr>
          <w:rFonts w:ascii="宋体" w:hAnsi="宋体"/>
          <w:sz w:val="24"/>
        </w:rPr>
        <w:t>10</w:t>
      </w:r>
      <w:r>
        <w:rPr>
          <w:rFonts w:hint="eastAsia" w:ascii="宋体" w:hAnsi="宋体"/>
          <w:sz w:val="24"/>
        </w:rPr>
        <w:t>、监造工程师在获得设计相关图样、制造工艺、质量控制计划、生产进度计划后，1</w:t>
      </w:r>
      <w:r>
        <w:rPr>
          <w:rFonts w:ascii="宋体" w:hAnsi="宋体"/>
          <w:sz w:val="24"/>
        </w:rPr>
        <w:t>5</w:t>
      </w:r>
      <w:r>
        <w:rPr>
          <w:rFonts w:hint="eastAsia" w:ascii="宋体" w:hAnsi="宋体"/>
          <w:sz w:val="24"/>
        </w:rPr>
        <w:t>日内编制完成《监造实施细则》，并经项目经理和项目总监审核、批准、签发。</w:t>
      </w:r>
    </w:p>
    <w:p w14:paraId="533A31F0">
      <w:pPr>
        <w:spacing w:line="360" w:lineRule="auto"/>
        <w:ind w:firstLine="480" w:firstLineChars="200"/>
        <w:rPr>
          <w:rFonts w:hint="eastAsia" w:ascii="宋体" w:hAnsi="宋体"/>
          <w:sz w:val="24"/>
        </w:rPr>
      </w:pPr>
      <w:r>
        <w:rPr>
          <w:rFonts w:ascii="宋体" w:hAnsi="宋体"/>
          <w:sz w:val="24"/>
        </w:rPr>
        <w:t>11</w:t>
      </w:r>
      <w:r>
        <w:rPr>
          <w:rFonts w:hint="eastAsia" w:ascii="宋体" w:hAnsi="宋体"/>
          <w:sz w:val="24"/>
        </w:rPr>
        <w:t>、监造工程师每日填写设备监理日志，将现场检查见证情况填入设备监理记录表，每周出具一份监理周报，其内容包括：本周检验内容、发现的问题、前一周问题解决情况、设备制造进度等。</w:t>
      </w:r>
    </w:p>
    <w:p w14:paraId="7A9AADE8">
      <w:pPr>
        <w:spacing w:line="360" w:lineRule="auto"/>
        <w:ind w:firstLine="480" w:firstLineChars="200"/>
        <w:rPr>
          <w:rFonts w:hint="eastAsia" w:ascii="宋体" w:hAnsi="宋体"/>
          <w:sz w:val="24"/>
        </w:rPr>
      </w:pPr>
      <w:r>
        <w:rPr>
          <w:rFonts w:ascii="宋体" w:hAnsi="宋体"/>
          <w:sz w:val="24"/>
        </w:rPr>
        <w:t>12</w:t>
      </w:r>
      <w:r>
        <w:rPr>
          <w:rFonts w:hint="eastAsia" w:ascii="宋体" w:hAnsi="宋体"/>
          <w:sz w:val="24"/>
        </w:rPr>
        <w:t>、监造工程师应配备必要的用于平行检查且检定合格的检测器具。</w:t>
      </w:r>
    </w:p>
    <w:p w14:paraId="1B0EA8CD">
      <w:pPr>
        <w:spacing w:line="360" w:lineRule="auto"/>
        <w:ind w:firstLine="480" w:firstLineChars="200"/>
        <w:rPr>
          <w:rFonts w:hint="eastAsia" w:ascii="宋体" w:hAnsi="宋体"/>
          <w:sz w:val="24"/>
        </w:rPr>
      </w:pPr>
      <w:r>
        <w:rPr>
          <w:rFonts w:ascii="宋体" w:hAnsi="宋体"/>
          <w:sz w:val="24"/>
        </w:rPr>
        <w:t>13</w:t>
      </w:r>
      <w:r>
        <w:rPr>
          <w:rFonts w:hint="eastAsia" w:ascii="宋体" w:hAnsi="宋体"/>
          <w:sz w:val="24"/>
        </w:rPr>
        <w:t>、监造工程师应按委托方的通知或有关要求参加或组织召开预检验会议，与制造厂对接确定检验试验计划和质量控制点，并经委托方确认。</w:t>
      </w:r>
    </w:p>
    <w:p w14:paraId="1C6E7C58">
      <w:pPr>
        <w:spacing w:line="360" w:lineRule="auto"/>
        <w:ind w:firstLine="480" w:firstLineChars="200"/>
        <w:rPr>
          <w:rFonts w:hint="eastAsia" w:ascii="宋体" w:hAnsi="宋体"/>
          <w:sz w:val="24"/>
        </w:rPr>
      </w:pPr>
      <w:r>
        <w:rPr>
          <w:rFonts w:ascii="宋体" w:hAnsi="宋体"/>
          <w:sz w:val="24"/>
        </w:rPr>
        <w:t>14</w:t>
      </w:r>
      <w:r>
        <w:rPr>
          <w:rFonts w:hint="eastAsia" w:ascii="宋体" w:hAnsi="宋体"/>
          <w:sz w:val="24"/>
        </w:rPr>
        <w:t>、实施监造的物资经现场监造工程师确认符合标准规范和订单约定后按发货批次开具监造放行单，由项目经理签发后报委托方。</w:t>
      </w:r>
    </w:p>
    <w:p w14:paraId="55A4F477">
      <w:pPr>
        <w:spacing w:line="360" w:lineRule="auto"/>
        <w:ind w:firstLine="480" w:firstLineChars="200"/>
        <w:rPr>
          <w:rFonts w:hint="eastAsia" w:ascii="宋体" w:hAnsi="宋体"/>
          <w:sz w:val="24"/>
        </w:rPr>
      </w:pPr>
      <w:r>
        <w:rPr>
          <w:rFonts w:ascii="宋体" w:hAnsi="宋体"/>
          <w:sz w:val="24"/>
        </w:rPr>
        <w:t>15</w:t>
      </w:r>
      <w:r>
        <w:rPr>
          <w:rFonts w:hint="eastAsia" w:ascii="宋体" w:hAnsi="宋体"/>
          <w:sz w:val="24"/>
        </w:rPr>
        <w:t>、全部监造工作完成后，应于3</w:t>
      </w:r>
      <w:r>
        <w:rPr>
          <w:rFonts w:ascii="宋体" w:hAnsi="宋体"/>
          <w:sz w:val="24"/>
        </w:rPr>
        <w:t>0</w:t>
      </w:r>
      <w:r>
        <w:rPr>
          <w:rFonts w:hint="eastAsia" w:ascii="宋体" w:hAnsi="宋体"/>
          <w:sz w:val="24"/>
        </w:rPr>
        <w:t>日内完成监造总结报告交付委托方。</w:t>
      </w:r>
    </w:p>
    <w:p w14:paraId="3443516C">
      <w:pPr>
        <w:spacing w:line="360" w:lineRule="auto"/>
        <w:ind w:firstLine="480" w:firstLineChars="200"/>
        <w:rPr>
          <w:rFonts w:hint="eastAsia" w:ascii="宋体" w:hAnsi="宋体"/>
          <w:sz w:val="24"/>
        </w:rPr>
      </w:pPr>
      <w:r>
        <w:rPr>
          <w:rFonts w:ascii="宋体" w:hAnsi="宋体"/>
          <w:sz w:val="24"/>
        </w:rPr>
        <w:t>16</w:t>
      </w:r>
      <w:r>
        <w:rPr>
          <w:rFonts w:hint="eastAsia" w:ascii="宋体" w:hAnsi="宋体"/>
          <w:sz w:val="24"/>
        </w:rPr>
        <w:t xml:space="preserve">、监造工程师应严格遵守制造单位HSE或安全生产管理制度的相关规定，严格执行劳保着装和安全防护要求，且做到保护用户、制造单位知识产权和商业秘密。  </w:t>
      </w:r>
    </w:p>
    <w:p w14:paraId="15976E0F">
      <w:pPr>
        <w:spacing w:line="360" w:lineRule="auto"/>
        <w:ind w:firstLine="480" w:firstLineChars="200"/>
        <w:rPr>
          <w:rFonts w:hint="eastAsia" w:ascii="宋体" w:hAnsi="宋体"/>
          <w:sz w:val="24"/>
        </w:rPr>
      </w:pPr>
      <w:r>
        <w:rPr>
          <w:rFonts w:ascii="宋体" w:hAnsi="宋体"/>
          <w:sz w:val="24"/>
        </w:rPr>
        <w:t>17</w:t>
      </w:r>
      <w:r>
        <w:rPr>
          <w:rFonts w:hint="eastAsia" w:ascii="宋体" w:hAnsi="宋体"/>
          <w:sz w:val="24"/>
        </w:rPr>
        <w:t>、监造工程师在环境和职业健康安全方面对制造单位施加影响。</w:t>
      </w:r>
    </w:p>
    <w:p w14:paraId="6D65F669">
      <w:pPr>
        <w:pStyle w:val="60"/>
        <w:numPr>
          <w:ilvl w:val="0"/>
          <w:numId w:val="1"/>
        </w:numPr>
        <w:spacing w:line="360" w:lineRule="auto"/>
        <w:ind w:firstLineChars="0"/>
        <w:outlineLvl w:val="0"/>
        <w:rPr>
          <w:rFonts w:hint="eastAsia" w:ascii="宋体" w:hAnsi="宋体"/>
          <w:b/>
          <w:sz w:val="24"/>
        </w:rPr>
      </w:pPr>
      <w:r>
        <w:rPr>
          <w:rFonts w:ascii="宋体" w:hAnsi="宋体"/>
          <w:b/>
          <w:sz w:val="24"/>
        </w:rPr>
        <w:t>监理工作开展的资金保障控制</w:t>
      </w:r>
    </w:p>
    <w:p w14:paraId="7BAB067D">
      <w:pPr>
        <w:spacing w:line="360" w:lineRule="auto"/>
        <w:ind w:firstLine="480" w:firstLineChars="200"/>
        <w:jc w:val="left"/>
        <w:rPr>
          <w:rFonts w:hint="eastAsia" w:ascii="宋体" w:hAnsi="宋体"/>
          <w:bCs/>
          <w:sz w:val="24"/>
        </w:rPr>
      </w:pPr>
      <w:r>
        <w:rPr>
          <w:rFonts w:hint="eastAsia" w:ascii="宋体" w:hAnsi="宋体"/>
          <w:bCs/>
          <w:sz w:val="24"/>
        </w:rPr>
        <w:t>本项目驻厂监造所需差旅、通讯、资料流转等资源按合同及公司内部制度落实，本大纲不展开财务审批、工资发放、报销流程等企业内部事项。</w:t>
      </w:r>
    </w:p>
    <w:p w14:paraId="5B03C7ED">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现场监造人员的安全管理措施</w:t>
      </w:r>
    </w:p>
    <w:p w14:paraId="3B19BA78">
      <w:pPr>
        <w:spacing w:line="360" w:lineRule="auto"/>
        <w:ind w:firstLine="480" w:firstLineChars="200"/>
        <w:rPr>
          <w:rFonts w:hint="eastAsia" w:ascii="宋体" w:hAnsi="宋体"/>
          <w:sz w:val="24"/>
        </w:rPr>
      </w:pPr>
      <w:r>
        <w:rPr>
          <w:rFonts w:hint="eastAsia" w:ascii="宋体" w:hAnsi="宋体"/>
          <w:sz w:val="24"/>
        </w:rPr>
        <w:t>现场安全管理限于驻厂监造活动：监造人员入厂前完成安全教育和劳保配置，进入制造现场遵守制造单位关于动火、吊装、高处作业、受限空间和试压隔离的审批要求；发现影响人身安全或设备质量的现场状态，应记录并通知制造单位整改。</w:t>
      </w:r>
    </w:p>
    <w:p w14:paraId="5091E25A">
      <w:pPr>
        <w:pStyle w:val="60"/>
        <w:numPr>
          <w:ilvl w:val="0"/>
          <w:numId w:val="1"/>
        </w:numPr>
        <w:spacing w:line="360" w:lineRule="auto"/>
        <w:ind w:firstLineChars="0"/>
        <w:outlineLvl w:val="0"/>
        <w:rPr>
          <w:rFonts w:hint="eastAsia" w:ascii="宋体" w:hAnsi="宋体"/>
          <w:b/>
          <w:sz w:val="24"/>
        </w:rPr>
      </w:pPr>
      <w:r>
        <w:rPr>
          <w:rFonts w:ascii="宋体" w:hAnsi="宋体"/>
          <w:b/>
          <w:sz w:val="24"/>
        </w:rPr>
        <w:t>监理工作目标和标准</w:t>
      </w:r>
    </w:p>
    <w:p w14:paraId="07A5878B">
      <w:pPr>
        <w:spacing w:line="360" w:lineRule="auto"/>
        <w:ind w:firstLine="480" w:firstLineChars="200"/>
        <w:rPr>
          <w:rFonts w:hint="eastAsia" w:ascii="宋体" w:hAnsi="宋体"/>
          <w:sz w:val="24"/>
        </w:rPr>
      </w:pPr>
      <w:r>
        <w:rPr>
          <w:rFonts w:ascii="宋体" w:hAnsi="宋体"/>
          <w:sz w:val="24"/>
        </w:rPr>
        <w:t>监理工作目标以设备制造质量、关键工序可见证、检验结果可追溯、出厂资料完整为核心，重点控制材料、焊接、热处理、无损检测、压力/泄漏试验、清洁封存和放行资料。</w:t>
      </w:r>
    </w:p>
    <w:p w14:paraId="6A06B7A4">
      <w:pPr>
        <w:pStyle w:val="60"/>
        <w:numPr>
          <w:ilvl w:val="0"/>
          <w:numId w:val="1"/>
        </w:numPr>
        <w:spacing w:line="360" w:lineRule="auto"/>
        <w:ind w:firstLineChars="0"/>
        <w:outlineLvl w:val="0"/>
        <w:rPr>
          <w:rFonts w:hint="eastAsia" w:ascii="宋体" w:hAnsi="宋体"/>
          <w:b/>
          <w:sz w:val="24"/>
        </w:rPr>
      </w:pPr>
      <w:r>
        <w:rPr>
          <w:rFonts w:ascii="宋体" w:hAnsi="宋体"/>
          <w:b/>
          <w:sz w:val="24"/>
        </w:rPr>
        <w:t>质量保证措施</w:t>
      </w:r>
    </w:p>
    <w:p w14:paraId="1EBFFED3">
      <w:pPr>
        <w:spacing w:line="360" w:lineRule="auto"/>
        <w:ind w:firstLine="480" w:firstLineChars="200"/>
        <w:rPr>
          <w:rFonts w:hint="eastAsia" w:ascii="宋体" w:hAnsi="宋体"/>
          <w:sz w:val="24"/>
        </w:rPr>
      </w:pPr>
      <w:r>
        <w:rPr>
          <w:rFonts w:hint="eastAsia" w:ascii="宋体" w:hAnsi="宋体"/>
          <w:sz w:val="24"/>
        </w:rPr>
        <w:t>质量保证措施围绕制造质量链展开：审查质量计划和工艺文件，核查材料与焊材追溯，见证不可逆关键工序，复核检验报告与返修闭环资料，确保检验结果能对应设备位号、部件、焊缝或管束编号。</w:t>
      </w:r>
    </w:p>
    <w:p w14:paraId="0D52C932">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处理质量异常的措施</w:t>
      </w:r>
    </w:p>
    <w:p w14:paraId="3BFD495F">
      <w:pPr>
        <w:spacing w:line="360" w:lineRule="auto"/>
        <w:ind w:firstLine="480" w:firstLineChars="200"/>
        <w:rPr>
          <w:rFonts w:hint="eastAsia" w:ascii="宋体" w:hAnsi="宋体"/>
          <w:sz w:val="24"/>
        </w:rPr>
      </w:pPr>
      <w:r>
        <w:rPr>
          <w:rFonts w:hint="eastAsia" w:ascii="宋体" w:hAnsi="宋体"/>
          <w:sz w:val="24"/>
        </w:rPr>
        <w:t>质量异常按隔离标识、影响范围确认、原因分析、返修/让步方案审批、复验确认和资料关闭处理；涉及材料代用、管板堆焊、管头焊接胀接、热处理、无损检测、压力/泄漏试验等关键项时，未经确认不得放行。</w:t>
      </w:r>
    </w:p>
    <w:p w14:paraId="0CB69528">
      <w:pPr>
        <w:pStyle w:val="60"/>
        <w:numPr>
          <w:ilvl w:val="0"/>
          <w:numId w:val="1"/>
        </w:numPr>
        <w:spacing w:line="360" w:lineRule="auto"/>
        <w:ind w:firstLineChars="0"/>
        <w:outlineLvl w:val="0"/>
        <w:rPr>
          <w:b/>
          <w:sz w:val="24"/>
        </w:rPr>
      </w:pPr>
      <w:r>
        <w:rPr>
          <w:rFonts w:hint="eastAsia"/>
          <w:b/>
          <w:sz w:val="24"/>
        </w:rPr>
        <w:t>监理工作要点</w:t>
      </w:r>
    </w:p>
    <w:p w14:paraId="5384DAE0">
      <w:pPr>
        <w:pStyle w:val="59"/>
        <w:spacing w:line="360" w:lineRule="auto"/>
        <w:ind w:firstLine="482"/>
        <w:outlineLvl w:val="1"/>
        <w:rPr>
          <w:b/>
          <w:sz w:val="24"/>
        </w:rPr>
      </w:pPr>
      <w:r>
        <w:rPr>
          <w:rFonts w:hint="eastAsia"/>
          <w:b/>
          <w:sz w:val="24"/>
        </w:rPr>
        <w:t>4.1 监造前准备：熟悉循环气冷凝器结构特点、供货范围、壳程/管程介质、管束组件、壳程筒体、管箱、管板、换热管、折流杆和管头连接方式，确认监造依据、图纸版本、技术协议和质量计划一致。</w:t>
      </w:r>
    </w:p>
    <w:p w14:paraId="5384DAE0">
      <w:pPr>
        <w:pStyle w:val="59"/>
        <w:spacing w:line="360" w:lineRule="auto"/>
        <w:ind w:firstLine="482"/>
        <w:outlineLvl w:val="1"/>
        <w:rPr>
          <w:b/>
          <w:sz w:val="24"/>
        </w:rPr>
      </w:pPr>
      <w:r>
        <w:rPr>
          <w:rFonts w:hint="eastAsia"/>
          <w:b/>
          <w:sz w:val="24"/>
        </w:rPr>
        <w:t>4.1.1 材料与工艺准备：了解09MnNiDR、09MnNiD、Q345R、S31603及复合板的成分、组织、力学性能、低温冲击、晶间腐蚀、PMI和焊接性能要求，明确复验项目和见证方式。</w:t>
      </w:r>
    </w:p>
    <w:p w14:paraId="5384DAE0">
      <w:pPr>
        <w:pStyle w:val="59"/>
        <w:spacing w:line="360" w:lineRule="auto"/>
        <w:ind w:firstLine="482"/>
        <w:outlineLvl w:val="1"/>
        <w:rPr>
          <w:b/>
          <w:sz w:val="24"/>
        </w:rPr>
      </w:pPr>
      <w:r>
        <w:rPr>
          <w:rFonts w:hint="eastAsia"/>
          <w:b/>
          <w:sz w:val="24"/>
        </w:rPr>
        <w:t>4.1.2 标准与检验准备：熟悉TSG 21、GB/T 150、GB/T 151、NB/T 47013、NB/T 47014、NB/T 47015及项目技术协议，形成材料、焊接、无损、热处理、压力试验、包装发运的检查清单。</w:t>
      </w:r>
    </w:p>
    <w:p w14:paraId="5384DAE0">
      <w:pPr>
        <w:pStyle w:val="59"/>
        <w:spacing w:line="360" w:lineRule="auto"/>
        <w:ind w:firstLine="482"/>
        <w:outlineLvl w:val="1"/>
        <w:rPr>
          <w:b/>
          <w:sz w:val="24"/>
        </w:rPr>
      </w:pPr>
      <w:r>
        <w:rPr>
          <w:rFonts w:hint="eastAsia"/>
          <w:b/>
          <w:sz w:val="24"/>
        </w:rPr>
        <w:t>4.1.3 工艺流程准备：审查制造工艺、焊接工艺、胀接工艺、热处理工艺、无损检测工艺、水压/氦检漏方案、酸洗钝化和氮封包装方案，未经批准不得进入相应工序。</w:t>
      </w:r>
    </w:p>
    <w:p w14:paraId="5384DAE0">
      <w:pPr>
        <w:pStyle w:val="59"/>
        <w:spacing w:line="360" w:lineRule="auto"/>
        <w:ind w:firstLine="482"/>
        <w:outlineLvl w:val="1"/>
        <w:rPr>
          <w:b/>
          <w:sz w:val="24"/>
        </w:rPr>
      </w:pPr>
      <w:r>
        <w:rPr>
          <w:rFonts w:hint="eastAsia"/>
          <w:b/>
          <w:sz w:val="24"/>
        </w:rPr>
        <w:t>4.3.1 开工条件审查：审查制造单位质保体系、压力容器制造资质、焊工资格、无损检测人员资格、外协外购单位资质、工装设备和检试验设备完好状态；不符合项关闭前不得开工。</w:t>
      </w:r>
    </w:p>
    <w:p w14:paraId="5384DAE0">
      <w:pPr>
        <w:pStyle w:val="59"/>
        <w:spacing w:line="360" w:lineRule="auto"/>
        <w:ind w:firstLine="482"/>
        <w:outlineLvl w:val="1"/>
        <w:rPr>
          <w:b/>
          <w:sz w:val="24"/>
        </w:rPr>
      </w:pPr>
      <w:r>
        <w:rPr>
          <w:rFonts w:hint="eastAsia"/>
          <w:b/>
          <w:sz w:val="24"/>
        </w:rPr>
        <w:t>4.3.2 原材料：逐项审查板材、锻件、封头、换热管、接管、螺栓螺母、焊材质量证明书和标识；09MnNiDR低温钢、09MnNiD锻件、S31603换热管和复合板按技术协议复验，材料代用必须经批准。</w:t>
      </w:r>
    </w:p>
    <w:p w14:paraId="5384DAE0">
      <w:pPr>
        <w:pStyle w:val="59"/>
        <w:spacing w:line="360" w:lineRule="auto"/>
        <w:ind w:firstLine="482"/>
        <w:outlineLvl w:val="1"/>
        <w:rPr>
          <w:b/>
          <w:sz w:val="24"/>
        </w:rPr>
      </w:pPr>
      <w:r>
        <w:rPr>
          <w:rFonts w:hint="eastAsia"/>
          <w:b/>
          <w:sz w:val="24"/>
        </w:rPr>
        <w:t>4.3.3 焊接检验：核查焊工资格、WPS/PQR覆盖性、焊材烘干发放、焊接位置、电流电压、线能量、层间温度和氩弧焊打底质量；外观不得有裂纹、气孔、夹渣、咬边等缺陷。</w:t>
      </w:r>
    </w:p>
    <w:p w14:paraId="5384DAE0">
      <w:pPr>
        <w:pStyle w:val="59"/>
        <w:spacing w:line="360" w:lineRule="auto"/>
        <w:ind w:firstLine="482"/>
        <w:outlineLvl w:val="1"/>
        <w:rPr>
          <w:b/>
          <w:sz w:val="24"/>
        </w:rPr>
      </w:pPr>
      <w:r>
        <w:rPr>
          <w:rFonts w:hint="eastAsia"/>
          <w:b/>
          <w:sz w:val="24"/>
        </w:rPr>
        <w:t>4.3.4 部件实物检验：检查管板尺寸、坡口、覆层厚度、管孔直径、垂直度、孔桥宽度、粗糙度，换热管外径壁厚、长度和PMI，筒体圆度、棱角度、错边量、封头最小厚度和接管方位。</w:t>
      </w:r>
    </w:p>
    <w:p w14:paraId="5384DAE0">
      <w:pPr>
        <w:pStyle w:val="59"/>
        <w:spacing w:line="360" w:lineRule="auto"/>
        <w:ind w:firstLine="482"/>
        <w:outlineLvl w:val="1"/>
        <w:rPr>
          <w:b/>
          <w:sz w:val="24"/>
        </w:rPr>
      </w:pPr>
      <w:r>
        <w:rPr>
          <w:rFonts w:hint="eastAsia"/>
          <w:b/>
          <w:sz w:val="24"/>
        </w:rPr>
        <w:t>4.3.5 管头胀接检验：审查胀接工艺评定和胀接试样，见证拉脱力试验；胀接前后抽查管孔内径、换热管外径/内径和胀后尺寸，计算实际胀管率并记录，超差必须返修复验。</w:t>
      </w:r>
    </w:p>
    <w:p w14:paraId="5384DAE0">
      <w:pPr>
        <w:pStyle w:val="59"/>
        <w:spacing w:line="360" w:lineRule="auto"/>
        <w:ind w:firstLine="482"/>
        <w:outlineLvl w:val="1"/>
        <w:rPr>
          <w:b/>
          <w:sz w:val="24"/>
        </w:rPr>
      </w:pPr>
      <w:r>
        <w:rPr>
          <w:rFonts w:hint="eastAsia"/>
          <w:b/>
          <w:sz w:val="24"/>
        </w:rPr>
        <w:t>4.3.6 无损检验：按图纸和技术协议审查RT/UT/PT/MT工艺、人员资格、设备校准和报告；A/B类焊缝、管头焊缝、堆焊层及返修部位应形成检测比例、合格级别和复验闭环记录。</w:t>
      </w:r>
    </w:p>
    <w:p w14:paraId="5384DAE0">
      <w:pPr>
        <w:pStyle w:val="59"/>
        <w:spacing w:line="360" w:lineRule="auto"/>
        <w:ind w:firstLine="482"/>
        <w:outlineLvl w:val="1"/>
        <w:rPr>
          <w:b/>
          <w:sz w:val="24"/>
        </w:rPr>
      </w:pPr>
      <w:r>
        <w:rPr>
          <w:rFonts w:hint="eastAsia"/>
          <w:b/>
          <w:sz w:val="24"/>
        </w:rPr>
        <w:t>4.3.7 焊后热处理：审查上管箱整体热处理、管板/设备法兰/管法兰堆焊件热处理、壳程筒体及合拢缝局部热处理方案，核查热电偶布置、升降温速率、保温温度和热处理曲线。</w:t>
      </w:r>
    </w:p>
    <w:p w14:paraId="5384DAE0">
      <w:pPr>
        <w:pStyle w:val="59"/>
        <w:spacing w:line="360" w:lineRule="auto"/>
        <w:ind w:firstLine="482"/>
        <w:outlineLvl w:val="1"/>
        <w:rPr>
          <w:b/>
          <w:sz w:val="24"/>
        </w:rPr>
      </w:pPr>
      <w:r>
        <w:rPr>
          <w:rFonts w:hint="eastAsia"/>
          <w:b/>
          <w:sz w:val="24"/>
        </w:rPr>
        <w:t>4.3.8 压力试验/泄漏性试验：审查水压、气密或氦检漏方案，确认盲板、压力表、试验介质、水温、氯离子、升降压速率和保压时间；试验渗漏、异常变形或压力保持异常时不得放行。</w:t>
      </w:r>
    </w:p>
    <w:p w14:paraId="5384DAE0">
      <w:pPr>
        <w:pStyle w:val="59"/>
        <w:spacing w:line="360" w:lineRule="auto"/>
        <w:ind w:firstLine="482"/>
        <w:outlineLvl w:val="1"/>
        <w:rPr>
          <w:b/>
          <w:sz w:val="24"/>
        </w:rPr>
      </w:pPr>
      <w:r>
        <w:rPr>
          <w:rFonts w:hint="eastAsia"/>
          <w:b/>
          <w:sz w:val="24"/>
        </w:rPr>
        <w:t>4.3.9 试板：壳程A类纵向焊接接头按GB/T 150.4制备产品焊接试件，试件标识、焊接、热处理状态和母体一致，性能试验报告应纳入竣工资料。</w:t>
      </w:r>
    </w:p>
    <w:p w14:paraId="5384DAE0">
      <w:pPr>
        <w:pStyle w:val="59"/>
        <w:spacing w:line="360" w:lineRule="auto"/>
        <w:ind w:firstLine="482"/>
        <w:outlineLvl w:val="1"/>
        <w:rPr>
          <w:b/>
          <w:sz w:val="24"/>
        </w:rPr>
      </w:pPr>
      <w:r>
        <w:rPr>
          <w:rFonts w:hint="eastAsia"/>
          <w:b/>
          <w:sz w:val="24"/>
        </w:rPr>
        <w:t>4.3.10 管板、设备法兰及接管堆焊：审查堆焊工艺评定、母材/过渡层/耐蚀层匹配、堆焊厚度、稀释率、铁素体或化学成分、层间温度、PT/UT检测和返修复验。</w:t>
      </w:r>
    </w:p>
    <w:p w14:paraId="5384DAE0">
      <w:pPr>
        <w:pStyle w:val="59"/>
        <w:spacing w:line="360" w:lineRule="auto"/>
        <w:ind w:firstLine="482"/>
        <w:outlineLvl w:val="1"/>
        <w:rPr>
          <w:b/>
          <w:sz w:val="24"/>
        </w:rPr>
      </w:pPr>
      <w:r>
        <w:rPr>
          <w:rFonts w:hint="eastAsia"/>
          <w:b/>
          <w:sz w:val="24"/>
        </w:rPr>
        <w:t>4.3.11 酸洗钝化处理：不锈钢表面清除污垢并酸洗钝化，蓝点法检查无蓝点为合格；酸洗钝化不合格、污染或机械损伤应重新处理并记录。</w:t>
      </w:r>
    </w:p>
    <w:p w14:paraId="5384DAE0">
      <w:pPr>
        <w:pStyle w:val="59"/>
        <w:spacing w:line="360" w:lineRule="auto"/>
        <w:ind w:firstLine="482"/>
        <w:outlineLvl w:val="1"/>
        <w:rPr>
          <w:b/>
          <w:sz w:val="24"/>
        </w:rPr>
      </w:pPr>
      <w:r>
        <w:rPr>
          <w:rFonts w:hint="eastAsia"/>
          <w:b/>
          <w:sz w:val="24"/>
        </w:rPr>
        <w:t>4.3.12 喷砂油漆包装发运检验：压力试验完成后对碳钢壳体喷砂至Sa2.5，检查油漆外观和膜厚；发运前检查管口保护、法兰密封面、铭牌、标识、备品备件、干燥氮封、露点-30℃和0.05MPaG充氮保护。</w:t>
      </w:r>
    </w:p>
    <w:bookmarkEnd w:id="49"/>
    <w:bookmarkEnd w:id="50"/>
    <w:p w14:paraId="3CD0CBB9">
      <w:pPr>
        <w:pStyle w:val="60"/>
        <w:numPr>
          <w:ilvl w:val="0"/>
          <w:numId w:val="1"/>
        </w:numPr>
        <w:spacing w:line="360" w:lineRule="auto"/>
        <w:ind w:firstLineChars="0"/>
        <w:outlineLvl w:val="0"/>
        <w:rPr>
          <w:rFonts w:hint="eastAsia" w:ascii="宋体" w:hAnsi="宋体"/>
          <w:b/>
          <w:sz w:val="24"/>
        </w:rPr>
      </w:pPr>
      <w:bookmarkStart w:id="69" w:name="_Toc454711456"/>
      <w:bookmarkStart w:id="70" w:name="_Toc176165899"/>
      <w:bookmarkStart w:id="71" w:name="_Toc24205877"/>
      <w:bookmarkStart w:id="72" w:name="_Toc176165778"/>
      <w:bookmarkStart w:id="73" w:name="_Toc102238062"/>
      <w:r>
        <w:rPr>
          <w:rFonts w:hint="eastAsia" w:ascii="宋体" w:hAnsi="宋体"/>
          <w:b/>
          <w:sz w:val="24"/>
        </w:rPr>
        <w:t>监理记录</w:t>
      </w:r>
      <w:bookmarkEnd w:id="69"/>
      <w:bookmarkEnd w:id="70"/>
      <w:bookmarkEnd w:id="71"/>
      <w:bookmarkEnd w:id="72"/>
      <w:bookmarkEnd w:id="73"/>
    </w:p>
    <w:p w14:paraId="3124490E">
      <w:pPr>
        <w:spacing w:line="360" w:lineRule="auto"/>
        <w:ind w:firstLine="480" w:firstLineChars="200"/>
        <w:rPr>
          <w:rFonts w:hint="eastAsia" w:ascii="宋体" w:hAnsi="宋体"/>
          <w:sz w:val="24"/>
        </w:rPr>
      </w:pPr>
      <w:r>
        <w:rPr>
          <w:rFonts w:hint="eastAsia" w:ascii="宋体" w:hAnsi="宋体"/>
          <w:sz w:val="24"/>
        </w:rPr>
        <w:t>1、所有的现场数据（W）和文件查阅数据（R）都必须详细记入（或另表附入）监造日志。</w:t>
      </w:r>
    </w:p>
    <w:p w14:paraId="5813778D">
      <w:pPr>
        <w:spacing w:line="360" w:lineRule="auto"/>
        <w:ind w:firstLine="480" w:firstLineChars="200"/>
        <w:rPr>
          <w:rFonts w:hint="eastAsia" w:ascii="宋体" w:hAnsi="宋体"/>
          <w:sz w:val="24"/>
        </w:rPr>
      </w:pPr>
      <w:r>
        <w:rPr>
          <w:rFonts w:ascii="宋体" w:hAnsi="宋体"/>
          <w:sz w:val="24"/>
        </w:rPr>
        <w:t>2</w:t>
      </w:r>
      <w:r>
        <w:rPr>
          <w:rFonts w:hint="eastAsia" w:ascii="宋体" w:hAnsi="宋体"/>
          <w:sz w:val="24"/>
        </w:rPr>
        <w:t>、所有违规事件及现场发生状况都必须详细记入监造日志，并记入旁证人员，状态/时间、焊缝状态/时间统计表。</w:t>
      </w:r>
    </w:p>
    <w:p w14:paraId="7DDE316A">
      <w:pPr>
        <w:spacing w:line="360" w:lineRule="auto"/>
        <w:ind w:firstLine="480" w:firstLineChars="200"/>
        <w:rPr>
          <w:rFonts w:hint="eastAsia" w:ascii="宋体" w:hAnsi="宋体"/>
          <w:sz w:val="24"/>
        </w:rPr>
      </w:pPr>
      <w:r>
        <w:rPr>
          <w:rFonts w:ascii="宋体" w:hAnsi="宋体"/>
          <w:sz w:val="24"/>
        </w:rPr>
        <w:t>3</w:t>
      </w:r>
      <w:r>
        <w:rPr>
          <w:rFonts w:hint="eastAsia" w:ascii="宋体" w:hAnsi="宋体"/>
          <w:sz w:val="24"/>
        </w:rPr>
        <w:t>、监造工程师认为有必要备忘的事件也要记入监造日志，并记入涉及人员。</w:t>
      </w:r>
    </w:p>
    <w:p w14:paraId="501A9D80">
      <w:pPr>
        <w:spacing w:line="360" w:lineRule="auto"/>
        <w:ind w:firstLine="480" w:firstLineChars="200"/>
        <w:rPr>
          <w:rFonts w:hint="eastAsia" w:ascii="宋体" w:hAnsi="宋体"/>
          <w:sz w:val="24"/>
        </w:rPr>
      </w:pPr>
      <w:r>
        <w:rPr>
          <w:rFonts w:hint="eastAsia" w:ascii="宋体" w:hAnsi="宋体"/>
          <w:sz w:val="24"/>
        </w:rPr>
        <w:t>4、所有的记录要在当天完成，现场原始记录归入监造资料收存备查。</w:t>
      </w:r>
    </w:p>
    <w:p w14:paraId="28192A38">
      <w:pPr>
        <w:spacing w:line="360" w:lineRule="auto"/>
        <w:ind w:firstLine="480" w:firstLineChars="200"/>
        <w:rPr>
          <w:rFonts w:hint="eastAsia" w:ascii="宋体" w:hAnsi="宋体"/>
          <w:sz w:val="24"/>
        </w:rPr>
      </w:pPr>
      <w:r>
        <w:rPr>
          <w:rFonts w:hint="eastAsia" w:ascii="宋体" w:hAnsi="宋体"/>
          <w:sz w:val="24"/>
        </w:rPr>
        <w:t>5、如发现操作严重不符合项，应及时向委托方汇报；必要时应发联络单给制造单位, 并记录在日志中。</w:t>
      </w:r>
    </w:p>
    <w:p w14:paraId="68755D57">
      <w:pPr>
        <w:spacing w:line="360" w:lineRule="auto"/>
        <w:ind w:firstLine="480" w:firstLineChars="200"/>
        <w:rPr>
          <w:rFonts w:hint="eastAsia" w:ascii="宋体" w:hAnsi="宋体"/>
          <w:sz w:val="24"/>
        </w:rPr>
      </w:pPr>
      <w:r>
        <w:rPr>
          <w:rFonts w:hint="eastAsia" w:ascii="宋体" w:hAnsi="宋体"/>
          <w:sz w:val="24"/>
        </w:rPr>
        <w:t>6、日常沟通及周报内容涵盖对潜在质量风险点或要素的识别，对制造单位的风险提示和预防措施建议，对制造单位响应和措施执行情况的跟踪记录。</w:t>
      </w:r>
    </w:p>
    <w:p w14:paraId="798AB8E1">
      <w:pPr>
        <w:spacing w:line="360" w:lineRule="auto"/>
        <w:ind w:firstLine="480" w:firstLineChars="200"/>
        <w:rPr>
          <w:rFonts w:hint="eastAsia" w:ascii="宋体" w:hAnsi="宋体"/>
          <w:sz w:val="24"/>
        </w:rPr>
      </w:pPr>
      <w:r>
        <w:rPr>
          <w:rFonts w:hint="eastAsia" w:ascii="宋体" w:hAnsi="宋体"/>
          <w:sz w:val="24"/>
        </w:rPr>
        <w:t>7、所有见证和检验需留有照片或视频记录。</w:t>
      </w:r>
    </w:p>
    <w:p w14:paraId="59E38D9E">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监理周报、周例会、监理放行单</w:t>
      </w:r>
    </w:p>
    <w:p w14:paraId="09BCC63C">
      <w:pPr>
        <w:spacing w:line="360" w:lineRule="auto"/>
        <w:ind w:firstLine="480" w:firstLineChars="200"/>
        <w:rPr>
          <w:rFonts w:hint="eastAsia" w:ascii="宋体" w:hAnsi="宋体"/>
          <w:sz w:val="24"/>
        </w:rPr>
      </w:pPr>
      <w:r>
        <w:rPr>
          <w:rFonts w:ascii="宋体" w:hAnsi="宋体"/>
          <w:sz w:val="24"/>
        </w:rPr>
        <w:t>周报、例会和放行单只记录制造节点、见证项目、发现问题、整改关闭状态和待业主确认事项，不展开公司内部会议制度。</w:t>
      </w:r>
    </w:p>
    <w:p w14:paraId="75291904">
      <w:pPr>
        <w:pStyle w:val="60"/>
        <w:numPr>
          <w:ilvl w:val="0"/>
          <w:numId w:val="1"/>
        </w:numPr>
        <w:spacing w:line="360" w:lineRule="auto"/>
        <w:ind w:firstLineChars="0"/>
        <w:outlineLvl w:val="0"/>
        <w:rPr>
          <w:rFonts w:hint="eastAsia" w:ascii="宋体" w:hAnsi="宋体"/>
          <w:b/>
          <w:sz w:val="24"/>
        </w:rPr>
      </w:pPr>
      <w:bookmarkStart w:id="81" w:name="_Toc102238064"/>
      <w:bookmarkStart w:id="82" w:name="_Toc176165901"/>
      <w:bookmarkStart w:id="83" w:name="_Toc176165780"/>
      <w:r>
        <w:rPr>
          <w:rFonts w:hint="eastAsia" w:ascii="宋体" w:hAnsi="宋体"/>
          <w:b/>
          <w:sz w:val="24"/>
        </w:rPr>
        <w:t>最终监理资料</w:t>
      </w:r>
      <w:bookmarkEnd w:id="79"/>
      <w:bookmarkEnd w:id="80"/>
      <w:bookmarkEnd w:id="81"/>
      <w:bookmarkEnd w:id="82"/>
      <w:bookmarkEnd w:id="83"/>
    </w:p>
    <w:p w14:paraId="44B1A1FE">
      <w:pPr>
        <w:spacing w:line="360" w:lineRule="auto"/>
        <w:ind w:firstLine="480" w:firstLineChars="200"/>
        <w:rPr>
          <w:rFonts w:hint="eastAsia" w:ascii="宋体" w:hAnsi="宋体"/>
          <w:sz w:val="24"/>
        </w:rPr>
      </w:pPr>
      <w:r>
        <w:rPr>
          <w:rFonts w:ascii="宋体" w:hAnsi="宋体"/>
          <w:sz w:val="24"/>
        </w:rPr>
        <w:t>设备监造完成后，</w:t>
      </w:r>
      <w:r>
        <w:rPr>
          <w:rFonts w:hint="eastAsia" w:ascii="宋体" w:hAnsi="宋体"/>
          <w:sz w:val="24"/>
        </w:rPr>
        <w:t>按照项目规定的时间，</w:t>
      </w:r>
      <w:r>
        <w:rPr>
          <w:rFonts w:ascii="宋体" w:hAnsi="宋体"/>
          <w:sz w:val="24"/>
        </w:rPr>
        <w:t>向</w:t>
      </w:r>
      <w:r>
        <w:rPr>
          <w:rFonts w:hint="eastAsia" w:ascii="宋体" w:hAnsi="宋体"/>
          <w:sz w:val="24"/>
        </w:rPr>
        <w:t>委托方</w:t>
      </w:r>
      <w:r>
        <w:rPr>
          <w:rFonts w:ascii="宋体" w:hAnsi="宋体"/>
          <w:sz w:val="24"/>
        </w:rPr>
        <w:t>提供监理总结和监理报告。监造报告</w:t>
      </w:r>
      <w:r>
        <w:rPr>
          <w:rFonts w:hint="eastAsia" w:ascii="宋体" w:hAnsi="宋体"/>
          <w:sz w:val="24"/>
        </w:rPr>
        <w:t>逐台编制，监造总结主要内容</w:t>
      </w:r>
      <w:r>
        <w:rPr>
          <w:rFonts w:ascii="宋体" w:hAnsi="宋体"/>
          <w:sz w:val="24"/>
        </w:rPr>
        <w:t>包括对制造</w:t>
      </w:r>
      <w:r>
        <w:rPr>
          <w:rFonts w:hint="eastAsia" w:ascii="宋体" w:hAnsi="宋体"/>
          <w:sz w:val="24"/>
        </w:rPr>
        <w:t>进度和</w:t>
      </w:r>
      <w:r>
        <w:rPr>
          <w:rFonts w:ascii="宋体" w:hAnsi="宋体"/>
          <w:sz w:val="24"/>
        </w:rPr>
        <w:t>质量的</w:t>
      </w:r>
      <w:r>
        <w:rPr>
          <w:rFonts w:hint="eastAsia" w:ascii="宋体" w:hAnsi="宋体"/>
          <w:sz w:val="24"/>
        </w:rPr>
        <w:t>总体</w:t>
      </w:r>
      <w:r>
        <w:rPr>
          <w:rFonts w:ascii="宋体" w:hAnsi="宋体"/>
          <w:sz w:val="24"/>
        </w:rPr>
        <w:t>评价，</w:t>
      </w:r>
      <w:r>
        <w:rPr>
          <w:rFonts w:hint="eastAsia" w:ascii="宋体" w:hAnsi="宋体"/>
          <w:sz w:val="24"/>
        </w:rPr>
        <w:t>监造过程中</w:t>
      </w:r>
      <w:r>
        <w:rPr>
          <w:rFonts w:ascii="宋体" w:hAnsi="宋体"/>
          <w:sz w:val="24"/>
        </w:rPr>
        <w:t>发现问题</w:t>
      </w:r>
      <w:r>
        <w:rPr>
          <w:rFonts w:hint="eastAsia" w:ascii="宋体" w:hAnsi="宋体"/>
          <w:sz w:val="24"/>
        </w:rPr>
        <w:t>和</w:t>
      </w:r>
      <w:r>
        <w:rPr>
          <w:rFonts w:ascii="宋体" w:hAnsi="宋体"/>
          <w:sz w:val="24"/>
        </w:rPr>
        <w:t>处理</w:t>
      </w:r>
      <w:r>
        <w:rPr>
          <w:rFonts w:hint="eastAsia" w:ascii="宋体" w:hAnsi="宋体"/>
          <w:sz w:val="24"/>
        </w:rPr>
        <w:t>关闭情况</w:t>
      </w:r>
      <w:r>
        <w:rPr>
          <w:rFonts w:ascii="宋体" w:hAnsi="宋体"/>
          <w:sz w:val="24"/>
        </w:rPr>
        <w:t>，</w:t>
      </w:r>
      <w:r>
        <w:rPr>
          <w:rFonts w:hint="eastAsia" w:ascii="宋体" w:hAnsi="宋体"/>
          <w:sz w:val="24"/>
        </w:rPr>
        <w:t>其他的合理化</w:t>
      </w:r>
      <w:r>
        <w:rPr>
          <w:rFonts w:ascii="宋体" w:hAnsi="宋体"/>
          <w:sz w:val="24"/>
        </w:rPr>
        <w:t>建议等。</w:t>
      </w:r>
    </w:p>
    <w:p w14:paraId="6DA06AB5">
      <w:pPr>
        <w:spacing w:line="360" w:lineRule="auto"/>
        <w:ind w:firstLine="480" w:firstLineChars="200"/>
        <w:rPr>
          <w:rFonts w:hint="eastAsia" w:ascii="宋体" w:hAnsi="宋体"/>
          <w:sz w:val="24"/>
        </w:rPr>
      </w:pPr>
      <w:r>
        <w:rPr>
          <w:rFonts w:hint="eastAsia" w:ascii="宋体" w:hAnsi="宋体"/>
          <w:sz w:val="24"/>
        </w:rPr>
        <w:t>设备监理的资料严格执行业主和项目的有关规定，确保资料真实、完整、专业、规范。</w:t>
      </w:r>
    </w:p>
    <w:p w14:paraId="3E2A8F00">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进度控制</w:t>
      </w:r>
    </w:p>
    <w:p w14:paraId="01BCC68D">
      <w:pPr>
        <w:spacing w:line="360" w:lineRule="auto"/>
        <w:ind w:firstLine="480" w:firstLineChars="200"/>
        <w:rPr>
          <w:rFonts w:hint="eastAsia" w:ascii="宋体" w:hAnsi="宋体"/>
          <w:sz w:val="24"/>
        </w:rPr>
      </w:pPr>
      <w:r>
        <w:rPr>
          <w:rFonts w:ascii="宋体" w:hAnsi="宋体"/>
          <w:sz w:val="24"/>
        </w:rPr>
        <w:t>进度控制关注材料到货、工艺评定、关键制造工序、检验试验、返修复验和出厂放行等影响交付的节点；进度偏差应结合质量风险判断，不以压缩检验和见证环节作为赶工手段。</w:t>
      </w:r>
    </w:p>
    <w:p w14:paraId="70981A9A">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合同管理、信息管理及组织协调</w:t>
      </w:r>
    </w:p>
    <w:p w14:paraId="16417178">
      <w:pPr>
        <w:spacing w:line="360" w:lineRule="auto"/>
        <w:ind w:firstLine="480" w:firstLineChars="200"/>
        <w:rPr>
          <w:rFonts w:hint="eastAsia" w:ascii="宋体" w:hAnsi="宋体"/>
          <w:sz w:val="24"/>
        </w:rPr>
      </w:pPr>
      <w:r>
        <w:rPr>
          <w:rFonts w:ascii="宋体" w:hAnsi="宋体"/>
          <w:sz w:val="24"/>
        </w:rPr>
        <w:t>合同和信息管理用于确认供货范围、技术协议版本、设计变更、检验通知、质量问题和放行条件；所有关键沟通应形成可追溯记录并与监造资料一致。</w:t>
      </w:r>
    </w:p>
    <w:p w14:paraId="3C962805">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环境、安全控制</w:t>
      </w:r>
    </w:p>
    <w:p w14:paraId="678A1092">
      <w:pPr>
        <w:spacing w:line="360" w:lineRule="auto"/>
        <w:ind w:firstLine="480" w:firstLineChars="200"/>
        <w:rPr>
          <w:rFonts w:hint="eastAsia" w:ascii="宋体" w:hAnsi="宋体"/>
          <w:sz w:val="24"/>
        </w:rPr>
      </w:pPr>
      <w:r>
        <w:rPr>
          <w:rFonts w:ascii="宋体" w:hAnsi="宋体"/>
          <w:sz w:val="24"/>
        </w:rPr>
        <w:t>环境、安全控制限于制造现场监造活动，重点关注试压隔离、吊装转运、动火作业、清洗吹扫、氮封充压和包装发运过程中的现场作业条件，不展开企业级 HSE 检查制度。</w:t>
      </w:r>
    </w:p>
    <w:p w14:paraId="74475560">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售后服务措施</w:t>
      </w:r>
    </w:p>
    <w:p w14:paraId="6FA33EAE">
      <w:pPr>
        <w:pStyle w:val="59"/>
        <w:spacing w:line="360" w:lineRule="auto"/>
        <w:ind w:firstLine="480"/>
        <w:rPr>
          <w:rFonts w:hint="eastAsia" w:ascii="宋体" w:hAnsi="宋体"/>
          <w:sz w:val="24"/>
        </w:rPr>
      </w:pPr>
      <w:r>
        <w:rPr>
          <w:rFonts w:ascii="宋体" w:hAnsi="宋体"/>
          <w:sz w:val="24"/>
        </w:rPr>
        <w:t>售后服务不作为制造监造大纲重点；出厂前应完成质量问题关闭、资料完整性复核、铭牌包装检查和放行确认，为后续安装、运行和质量追溯提供依据。</w:t>
      </w:r>
    </w:p>
    <w:p w14:paraId="1835DA52">
      <w:pPr>
        <w:pStyle w:val="60"/>
        <w:numPr>
          <w:ilvl w:val="0"/>
          <w:numId w:val="1"/>
        </w:numPr>
        <w:spacing w:line="360" w:lineRule="auto"/>
        <w:ind w:firstLineChars="0"/>
        <w:outlineLvl w:val="0"/>
        <w:rPr>
          <w:rFonts w:hint="eastAsia" w:ascii="宋体" w:hAnsi="宋体"/>
          <w:b/>
          <w:sz w:val="24"/>
        </w:rPr>
      </w:pPr>
      <w:bookmarkStart w:id="104" w:name="_Toc176165906"/>
      <w:bookmarkStart w:id="105" w:name="_Toc102238069"/>
      <w:bookmarkStart w:id="106" w:name="_Toc176165785"/>
      <w:r>
        <w:rPr>
          <w:rFonts w:hint="eastAsia" w:ascii="宋体" w:hAnsi="宋体"/>
          <w:b/>
          <w:sz w:val="24"/>
        </w:rPr>
        <w:t>监理控制点类型</w:t>
      </w:r>
      <w:bookmarkEnd w:id="104"/>
      <w:bookmarkEnd w:id="105"/>
      <w:bookmarkEnd w:id="106"/>
    </w:p>
    <w:p w14:paraId="650529CB">
      <w:pPr>
        <w:spacing w:line="360" w:lineRule="auto"/>
        <w:ind w:firstLine="480" w:firstLineChars="200"/>
        <w:rPr>
          <w:rFonts w:hint="eastAsia" w:ascii="宋体" w:hAnsi="宋体"/>
          <w:sz w:val="24"/>
        </w:rPr>
      </w:pPr>
      <w:r>
        <w:rPr>
          <w:rFonts w:ascii="宋体" w:hAnsi="宋体"/>
          <w:sz w:val="24"/>
        </w:rPr>
        <w:t>按设备采购技术附件和设备制造工艺、工序和试验的特点，分</w:t>
      </w:r>
      <w:r>
        <w:rPr>
          <w:rFonts w:hint="eastAsia" w:ascii="宋体" w:hAnsi="宋体"/>
          <w:sz w:val="24"/>
        </w:rPr>
        <w:t>三</w:t>
      </w:r>
      <w:r>
        <w:rPr>
          <w:rFonts w:ascii="宋体" w:hAnsi="宋体"/>
          <w:sz w:val="24"/>
        </w:rPr>
        <w:t>种检验点进行分级质量控制，并在编制《设备监理大纲》中予以标识：停工待检点(H点)、现场见证点(W点)、文件见证点（R点）。</w:t>
      </w:r>
    </w:p>
    <w:p w14:paraId="12213ED2">
      <w:pPr>
        <w:pStyle w:val="60"/>
        <w:spacing w:line="360" w:lineRule="auto"/>
        <w:ind w:firstLine="480"/>
        <w:rPr>
          <w:rFonts w:hint="eastAsia" w:ascii="宋体" w:hAnsi="宋体"/>
          <w:sz w:val="24"/>
        </w:rPr>
      </w:pPr>
      <w:r>
        <w:rPr>
          <w:rFonts w:ascii="宋体" w:hAnsi="宋体"/>
          <w:sz w:val="24"/>
        </w:rPr>
        <w:t>---H点：必须有</w:t>
      </w:r>
      <w:r>
        <w:rPr>
          <w:rFonts w:hint="eastAsia" w:ascii="宋体" w:hAnsi="宋体"/>
          <w:sz w:val="24"/>
        </w:rPr>
        <w:t>监造工程师</w:t>
      </w:r>
      <w:r>
        <w:rPr>
          <w:rFonts w:ascii="宋体" w:hAnsi="宋体"/>
          <w:sz w:val="24"/>
        </w:rPr>
        <w:t>参加制造现场见证并签证后，才能转入下道工序。</w:t>
      </w:r>
    </w:p>
    <w:p w14:paraId="2073AB40">
      <w:pPr>
        <w:pStyle w:val="60"/>
        <w:spacing w:line="360" w:lineRule="auto"/>
        <w:ind w:firstLine="480"/>
        <w:rPr>
          <w:rFonts w:hint="eastAsia" w:ascii="宋体" w:hAnsi="宋体"/>
          <w:sz w:val="24"/>
        </w:rPr>
      </w:pPr>
      <w:r>
        <w:rPr>
          <w:rFonts w:ascii="宋体" w:hAnsi="宋体"/>
          <w:sz w:val="24"/>
        </w:rPr>
        <w:t>---W点：应有</w:t>
      </w:r>
      <w:r>
        <w:rPr>
          <w:rFonts w:hint="eastAsia" w:ascii="宋体" w:hAnsi="宋体"/>
          <w:sz w:val="24"/>
        </w:rPr>
        <w:t>监造工程师</w:t>
      </w:r>
      <w:r>
        <w:rPr>
          <w:rFonts w:ascii="宋体" w:hAnsi="宋体"/>
          <w:sz w:val="24"/>
        </w:rPr>
        <w:t>参加制造现场工序检验和试验。</w:t>
      </w:r>
    </w:p>
    <w:p w14:paraId="107D6921">
      <w:pPr>
        <w:pStyle w:val="60"/>
        <w:spacing w:line="360" w:lineRule="auto"/>
        <w:ind w:firstLine="480"/>
        <w:rPr>
          <w:rFonts w:hint="eastAsia" w:ascii="宋体" w:hAnsi="宋体"/>
          <w:sz w:val="24"/>
        </w:rPr>
      </w:pPr>
      <w:r>
        <w:rPr>
          <w:rFonts w:ascii="宋体" w:hAnsi="宋体"/>
          <w:sz w:val="24"/>
        </w:rPr>
        <w:t>---R点：由</w:t>
      </w:r>
      <w:r>
        <w:rPr>
          <w:rFonts w:hint="eastAsia" w:ascii="宋体" w:hAnsi="宋体"/>
          <w:sz w:val="24"/>
        </w:rPr>
        <w:t>监造工程师</w:t>
      </w:r>
      <w:r>
        <w:rPr>
          <w:rFonts w:ascii="宋体" w:hAnsi="宋体"/>
          <w:sz w:val="24"/>
        </w:rPr>
        <w:t>通过查阅原始资料和检验记录了解制造质量情况。</w:t>
      </w:r>
    </w:p>
    <w:p w14:paraId="3636D747">
      <w:pPr>
        <w:spacing w:before="60" w:line="360" w:lineRule="auto"/>
        <w:rPr>
          <w:sz w:val="24"/>
        </w:rPr>
      </w:pPr>
      <w:r>
        <w:rPr>
          <w:rFonts w:ascii="宋体" w:hAnsi="宋体"/>
          <w:sz w:val="24"/>
        </w:rPr>
        <w:t>依据监理技术服务合同，</w:t>
      </w:r>
      <w:r>
        <w:rPr>
          <w:rFonts w:hint="eastAsia" w:ascii="宋体" w:hAnsi="宋体"/>
          <w:sz w:val="24"/>
        </w:rPr>
        <w:t>监造工程师</w:t>
      </w:r>
      <w:r>
        <w:rPr>
          <w:rFonts w:ascii="宋体" w:hAnsi="宋体"/>
          <w:sz w:val="24"/>
        </w:rPr>
        <w:t>在驻厂监理工作开始后，</w:t>
      </w:r>
      <w:r>
        <w:rPr>
          <w:rFonts w:hint="eastAsia" w:ascii="宋体" w:hAnsi="宋体"/>
          <w:sz w:val="24"/>
        </w:rPr>
        <w:t>由委托方提供或由委托方协调制造单位借阅</w:t>
      </w:r>
      <w:r>
        <w:rPr>
          <w:rFonts w:ascii="宋体" w:hAnsi="宋体"/>
          <w:sz w:val="24"/>
        </w:rPr>
        <w:t>设备设计图纸和制造工艺文件编制完成《设备监理实施细则》。</w:t>
      </w:r>
    </w:p>
    <w:p w14:paraId="70ED92C9">
      <w:pPr>
        <w:pStyle w:val="60"/>
        <w:numPr>
          <w:ilvl w:val="0"/>
          <w:numId w:val="1"/>
        </w:numPr>
        <w:spacing w:line="360" w:lineRule="auto"/>
        <w:ind w:firstLineChars="0"/>
        <w:outlineLvl w:val="0"/>
        <w:rPr>
          <w:sz w:val="24"/>
        </w:rPr>
      </w:pPr>
      <w:r>
        <w:rPr>
          <w:rFonts w:hint="eastAsia" w:ascii="宋体" w:hAnsi="宋体"/>
          <w:b/>
          <w:sz w:val="24"/>
        </w:rPr>
        <w:t>监造检试验计划</w:t>
      </w:r>
    </w:p>
    <w:tbl>
      <w:tblPr>
        <w:tblStyle w:val="33"/>
        <w:tblW w:w="515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1"/>
        <w:gridCol w:w="1381"/>
        <w:gridCol w:w="3599"/>
        <w:gridCol w:w="1450"/>
        <w:gridCol w:w="1346"/>
        <w:gridCol w:w="1410"/>
      </w:tblGrid>
      <w:tr w14:paraId="7BBD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blHeader/>
        </w:trPr>
        <w:tc>
          <w:tcPr>
            <w:tcW w:w="345" w:type="pct"/>
            <w:tcBorders>
              <w:top w:val="single" w:color="auto" w:sz="4" w:space="0"/>
              <w:left w:val="single" w:color="auto" w:sz="4" w:space="0"/>
              <w:bottom w:val="single" w:color="auto" w:sz="4" w:space="0"/>
              <w:right w:val="single" w:color="auto" w:sz="4" w:space="0"/>
            </w:tcBorders>
            <w:vAlign w:val="center"/>
          </w:tcPr>
          <w:p w14:paraId="5B7ABA99">
            <w:pPr>
              <w:spacing w:line="360" w:lineRule="exact"/>
              <w:jc w:val="center"/>
              <w:rPr>
                <w:b/>
                <w:szCs w:val="21"/>
              </w:rPr>
            </w:pPr>
            <w:r>
              <w:rPr>
                <w:b/>
                <w:szCs w:val="21"/>
              </w:rPr>
              <w:t>序号</w:t>
            </w:r>
          </w:p>
        </w:tc>
        <w:tc>
          <w:tcPr>
            <w:tcW w:w="700" w:type="pct"/>
            <w:tcBorders>
              <w:top w:val="single" w:color="auto" w:sz="4" w:space="0"/>
              <w:left w:val="single" w:color="auto" w:sz="4" w:space="0"/>
              <w:bottom w:val="single" w:color="auto" w:sz="4" w:space="0"/>
              <w:right w:val="single" w:color="auto" w:sz="4" w:space="0"/>
            </w:tcBorders>
            <w:vAlign w:val="center"/>
          </w:tcPr>
          <w:p w14:paraId="0E5556F4">
            <w:pPr>
              <w:spacing w:line="360" w:lineRule="exact"/>
              <w:jc w:val="center"/>
              <w:rPr>
                <w:b/>
                <w:szCs w:val="21"/>
              </w:rPr>
            </w:pPr>
            <w:r>
              <w:rPr>
                <w:b/>
                <w:szCs w:val="21"/>
              </w:rPr>
              <w:t>零部件及工序名称</w:t>
            </w:r>
          </w:p>
        </w:tc>
        <w:tc>
          <w:tcPr>
            <w:tcW w:w="1824" w:type="pct"/>
            <w:tcBorders>
              <w:top w:val="single" w:color="auto" w:sz="4" w:space="0"/>
              <w:left w:val="single" w:color="auto" w:sz="4" w:space="0"/>
              <w:bottom w:val="single" w:color="auto" w:sz="4" w:space="0"/>
              <w:right w:val="single" w:color="auto" w:sz="4" w:space="0"/>
            </w:tcBorders>
            <w:vAlign w:val="center"/>
          </w:tcPr>
          <w:p w14:paraId="7AF57A2C">
            <w:pPr>
              <w:spacing w:line="360" w:lineRule="exact"/>
              <w:jc w:val="center"/>
              <w:rPr>
                <w:b/>
                <w:szCs w:val="21"/>
              </w:rPr>
            </w:pPr>
            <w:r>
              <w:rPr>
                <w:rFonts w:hint="eastAsia"/>
                <w:b/>
                <w:szCs w:val="21"/>
              </w:rPr>
              <w:t>检试验</w:t>
            </w:r>
            <w:r>
              <w:rPr>
                <w:b/>
                <w:szCs w:val="21"/>
              </w:rPr>
              <w:t>内容</w:t>
            </w:r>
          </w:p>
        </w:tc>
        <w:tc>
          <w:tcPr>
            <w:tcW w:w="735" w:type="pct"/>
            <w:tcBorders>
              <w:top w:val="single" w:color="auto" w:sz="4" w:space="0"/>
              <w:left w:val="single" w:color="auto" w:sz="4" w:space="0"/>
              <w:bottom w:val="single" w:color="auto" w:sz="4" w:space="0"/>
              <w:right w:val="single" w:color="auto" w:sz="4" w:space="0"/>
            </w:tcBorders>
            <w:vAlign w:val="center"/>
          </w:tcPr>
          <w:p w14:paraId="365CD848">
            <w:pPr>
              <w:spacing w:line="320" w:lineRule="exact"/>
              <w:jc w:val="center"/>
              <w:rPr>
                <w:b/>
                <w:szCs w:val="21"/>
              </w:rPr>
            </w:pPr>
            <w:r>
              <w:rPr>
                <w:b/>
                <w:szCs w:val="21"/>
              </w:rPr>
              <w:t>文件见证点</w:t>
            </w:r>
          </w:p>
          <w:p w14:paraId="22E20405">
            <w:pPr>
              <w:spacing w:line="320" w:lineRule="exact"/>
              <w:jc w:val="center"/>
              <w:rPr>
                <w:b/>
                <w:szCs w:val="21"/>
              </w:rPr>
            </w:pPr>
            <w:r>
              <w:rPr>
                <w:rFonts w:hint="eastAsia"/>
                <w:b/>
                <w:szCs w:val="21"/>
              </w:rPr>
              <w:t>/R</w:t>
            </w:r>
          </w:p>
        </w:tc>
        <w:tc>
          <w:tcPr>
            <w:tcW w:w="682" w:type="pct"/>
            <w:tcBorders>
              <w:top w:val="single" w:color="auto" w:sz="4" w:space="0"/>
              <w:left w:val="single" w:color="auto" w:sz="4" w:space="0"/>
              <w:bottom w:val="single" w:color="auto" w:sz="4" w:space="0"/>
              <w:right w:val="single" w:color="auto" w:sz="4" w:space="0"/>
            </w:tcBorders>
            <w:vAlign w:val="center"/>
          </w:tcPr>
          <w:p w14:paraId="53C100B1">
            <w:pPr>
              <w:spacing w:line="320" w:lineRule="exact"/>
              <w:jc w:val="center"/>
              <w:rPr>
                <w:b/>
                <w:szCs w:val="21"/>
              </w:rPr>
            </w:pPr>
            <w:r>
              <w:rPr>
                <w:b/>
                <w:szCs w:val="21"/>
              </w:rPr>
              <w:t>现场见证点</w:t>
            </w:r>
          </w:p>
          <w:p w14:paraId="2E446E14">
            <w:pPr>
              <w:spacing w:line="320" w:lineRule="exact"/>
              <w:jc w:val="center"/>
              <w:rPr>
                <w:b/>
                <w:szCs w:val="21"/>
              </w:rPr>
            </w:pPr>
            <w:r>
              <w:rPr>
                <w:rFonts w:hint="eastAsia"/>
                <w:b/>
                <w:szCs w:val="21"/>
              </w:rPr>
              <w:t>/W</w:t>
            </w:r>
          </w:p>
        </w:tc>
        <w:tc>
          <w:tcPr>
            <w:tcW w:w="714" w:type="pct"/>
            <w:tcBorders>
              <w:top w:val="single" w:color="auto" w:sz="4" w:space="0"/>
              <w:left w:val="single" w:color="auto" w:sz="4" w:space="0"/>
              <w:bottom w:val="single" w:color="auto" w:sz="4" w:space="0"/>
              <w:right w:val="single" w:color="auto" w:sz="4" w:space="0"/>
            </w:tcBorders>
            <w:vAlign w:val="center"/>
          </w:tcPr>
          <w:p w14:paraId="123FBEB3">
            <w:pPr>
              <w:spacing w:line="320" w:lineRule="exact"/>
              <w:jc w:val="center"/>
              <w:rPr>
                <w:b/>
                <w:szCs w:val="21"/>
              </w:rPr>
            </w:pPr>
            <w:r>
              <w:rPr>
                <w:b/>
                <w:szCs w:val="21"/>
              </w:rPr>
              <w:t>停止</w:t>
            </w:r>
            <w:r>
              <w:rPr>
                <w:rFonts w:hint="eastAsia"/>
                <w:b/>
                <w:szCs w:val="21"/>
              </w:rPr>
              <w:t>见证</w:t>
            </w:r>
            <w:r>
              <w:rPr>
                <w:b/>
                <w:szCs w:val="21"/>
              </w:rPr>
              <w:t>点</w:t>
            </w:r>
          </w:p>
          <w:p w14:paraId="32838CCE">
            <w:pPr>
              <w:spacing w:line="320" w:lineRule="exact"/>
              <w:jc w:val="center"/>
              <w:rPr>
                <w:b/>
                <w:szCs w:val="21"/>
              </w:rPr>
            </w:pPr>
            <w:r>
              <w:rPr>
                <w:rFonts w:hint="eastAsia"/>
                <w:b/>
                <w:szCs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开工准备</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审查制造许可证、质保体系文件、项目组织机构</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审查焊接工程师、NDE人员、无损检测人员资质</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审查设计图纸会审记录及C1章批准状态</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原材料进厂</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核查钢板、锻件、换热管质量证明书</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钢板外观检查、尺寸测量及光谱分析(PMI)</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09MnNiDR低温钢板复验（拉伸、冲击、弯曲）</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S31603换热管进厂检验（尺寸、外观、光谱）</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复合板结合强度及耐蚀层厚度检查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焊材入库验收、烘干及发放记录审查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设备法兰、接管、垫片、紧固件材质核对</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11</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管板加工</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管板下料尺寸及坡口加工检查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管板钻孔布局及管孔尺寸检查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13</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管板堆焊</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审查管板堆焊工艺评定(PQR)及WPS</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堆焊层间温度控制及焊材烘干核查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堆焊厚度及表面质量检查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堆焊层表面PT检测</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堆焊层铁素体含量或化学成分分析</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18</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U型管弯制</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审查U型管弯制工艺及弯管机校准记录</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U型管弯头减薄率及椭圆度检查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U型管弯头恢复性能热处理</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21</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U型管通球试验</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U型管端部清洁及可追溯编号检查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23</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壳体制造</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筒体卷制尺寸及椭圆度检查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筒体纵环缝组对间隙及错边量检查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封头压制尺寸及成型质量检查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封头与筒体环缝组对检查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27</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焊接作业</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审查焊接工艺评定(PQR)及WPS覆盖范围</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焊接线能量及层间温度控制抽查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焊缝外观质量检查（余高、宽度、咬边）</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产品焊接试件制备及标识</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31</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无损检测</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审查NDE工艺及人员资质</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筒体纵环缝RT检测</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33</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封头与筒体环缝RT检测</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接管与壳体角焊缝PT/MT检测</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返修焊缝复验及记录审查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36</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管束装配</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管板与管箱/壳体法兰对接组对检查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换热管穿管前管板尺寸复核</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换热管穿管及U型管布置检查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39</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管头连接</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审查管头焊接/胀接工艺评定</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管头焊接线能量及焊材追溯核查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41</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管头焊缝外观及尺寸检查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管头胀接工艺参数核查（胀管率、行程）</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43</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管头连接拉脱力试验或试件验证</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管头渗漏风险排查（目视/着色）</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45</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焊后热处理</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审查PWHT工艺及曲线要求</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热处理测温热电偶布置检查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PWHT过程温度曲线记录审查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热处理后硬度抽查（如适用）</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49</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产品试件检验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产品焊接试件力学性能试验（拉伸、弯曲）</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产品焊接试件冲击试验</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51</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压力试验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审查水压试验方案及安全评估</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水压试验前状态检查（支架、盲板、仪表）</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53</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水压试验升压、保压、降压过程见证</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试压后排水吹扫及干燥检查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55</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氮封处理</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壳程充氮及露点检测</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氮封压力设定及保压核查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氮封系统阀门隔离及封口防护检查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58</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表面处理</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审查表面处理及涂装工艺</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外表面喷砂除锈质量检查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底漆/面漆涂装厚度及附着力检查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61</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最终检验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设备总体尺寸及管口方位复核</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设备法兰密封面及螺栓孔检查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63</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支座/鞍座安装尺寸及焊接检查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铭牌内容及安装位置核查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外观质量综合检查（防腐、标识、清洁）</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66</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包装发运</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审查包装方案及运输加固设计</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临时支撑及运输工装安装检查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备件及可拆件单独装箱及标识核查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发运前氮封压力复核及补氮记录</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70</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竣工资料</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材料质量证明书汇总审查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71</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焊接记录及焊材追溯台账审查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无损检测报告及底片归档审查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73</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热处理曲线及硬度报告审查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水压试验及氮封记录审查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产品焊接试件力学性能报告审查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最终检验报告及尺寸复核表审查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竣工图纸（As-built）审查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备品备件及专用工具清单审查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不一致性报告及返修记录审查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卖方最终资料手册编制审查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81</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过程巡检</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车间制造环境及定置管理抽查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焊接环境温湿度及防风措施抽查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83</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管板堆焊层间清理及打磨质量抽查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U型管弯制模具磨损及润滑抽查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换热管穿管过程防划伤措施抽查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管头胀接设备校准及模具检查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热处理炉温场均匀性抽查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水压试验压力表校验有效期抽查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氮封系统管路密封性及阀门状态抽查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涂装车间温湿度及除尘措施抽查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91</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设备翻身吊装索具及吊耳强度抽查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包装箱防潮防震材料铺设抽查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93</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现场标识牌及状态标签抽查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不合格品隔离区管理抽查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计量器具周期校验抽查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焊接车间防风棚及保温措施抽查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管板堆焊焊材烘干炉温度抽查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U型管热处理炉气氛及冷却介质抽查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试压水箱水质及pH值抽查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100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最终出厂前综合状态核查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101</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竣工资料</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设计变更及材料代用书面认可文件审查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102</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出厂放行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最终放行前综合状态确认及H点签字</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bl>
    <w:p w14:paraId="12916F31">
      <w:pPr>
        <w:pStyle w:val="60"/>
        <w:spacing w:before="60" w:after="60" w:line="360" w:lineRule="auto"/>
        <w:ind w:firstLine="0" w:firstLineChars="0"/>
        <w:jc w:val="center"/>
        <w:rPr>
          <w:sz w:val="24"/>
        </w:rPr>
      </w:pPr>
      <w:r>
        <w:rPr>
          <w:rFonts w:hint="eastAsia" w:ascii="宋体" w:hAnsi="宋体"/>
          <w:b/>
          <w:sz w:val="24"/>
        </w:rPr>
        <w:t>结束</w:t>
      </w:r>
    </w:p>
    <w:sectPr>
      <w:headerReference r:id="rId4" w:type="first"/>
      <w:footerReference r:id="rId7" w:type="first"/>
      <w:headerReference r:id="rId3" w:type="default"/>
      <w:footerReference r:id="rId5" w:type="default"/>
      <w:footerReference r:id="rId6" w:type="even"/>
      <w:pgSz w:w="11906" w:h="16838"/>
      <w:pgMar w:top="1134" w:right="1134" w:bottom="1134" w:left="1134" w:header="567" w:footer="992" w:gutter="284"/>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EA5FB">
    <w:pPr>
      <w:pStyle w:val="23"/>
      <w:ind w:right="360"/>
    </w:pPr>
    <w:r>
      <w:rPr>
        <w:rFonts w:hint="eastAsia"/>
      </w:rPr>
      <w:t xml:space="preserve">                                                 </w:t>
    </w:r>
    <w:r>
      <w:rPr>
        <w:rFonts w:hint="eastAsia"/>
        <w:lang w:val="zh-CN"/>
      </w:rPr>
      <w:t>第</w:t>
    </w:r>
    <w:r>
      <w:rPr>
        <w:lang w:val="zh-CN"/>
      </w:rPr>
      <w:t xml:space="preserve"> </w:t>
    </w:r>
    <w:r>
      <w:fldChar w:fldCharType="begin"/>
    </w:r>
    <w:r>
      <w:instrText xml:space="preserve">PAGE  \* Arabic  \* MERGEFORMAT</w:instrText>
    </w:r>
    <w:r>
      <w:fldChar w:fldCharType="separate"/>
    </w:r>
    <w:r>
      <w:rPr>
        <w:lang w:val="zh-CN"/>
      </w:rPr>
      <w:t>23</w:t>
    </w:r>
    <w:r>
      <w:rPr>
        <w:lang w:val="zh-CN"/>
      </w:rPr>
      <w:fldChar w:fldCharType="end"/>
    </w:r>
    <w:r>
      <w:rPr>
        <w:rFonts w:hint="eastAsia"/>
        <w:lang w:val="zh-CN"/>
      </w:rPr>
      <w:t xml:space="preserve"> 页 共</w:t>
    </w:r>
    <w:r>
      <w:rPr>
        <w:lang w:val="zh-CN"/>
      </w:rPr>
      <w:t xml:space="preserve"> </w:t>
    </w:r>
    <w:r>
      <w:fldChar w:fldCharType="begin"/>
    </w:r>
    <w:r>
      <w:instrText xml:space="preserve">NUMPAGES  \* Arabic  \* MERGEFORMAT</w:instrText>
    </w:r>
    <w:r>
      <w:fldChar w:fldCharType="separate"/>
    </w:r>
    <w:r>
      <w:rPr>
        <w:lang w:val="zh-CN"/>
      </w:rPr>
      <w:t>24</w:t>
    </w:r>
    <w:r>
      <w:rPr>
        <w:lang w:val="zh-CN"/>
      </w:rPr>
      <w:fldChar w:fldCharType="end"/>
    </w:r>
    <w:r>
      <w:rPr>
        <w:rFonts w:hint="eastAsia"/>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A41C1">
    <w:pPr>
      <w:pStyle w:val="23"/>
      <w:framePr w:wrap="around" w:vAnchor="text" w:hAnchor="margin" w:xAlign="right" w:y="1"/>
      <w:rPr>
        <w:rStyle w:val="37"/>
      </w:rPr>
    </w:pPr>
    <w:r>
      <w:fldChar w:fldCharType="begin"/>
    </w:r>
    <w:r>
      <w:rPr>
        <w:rStyle w:val="37"/>
      </w:rPr>
      <w:instrText xml:space="preserve">PAGE  </w:instrText>
    </w:r>
    <w:r>
      <w:fldChar w:fldCharType="end"/>
    </w:r>
  </w:p>
  <w:p w14:paraId="36895850">
    <w:pPr>
      <w:pStyle w:val="23"/>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7D483">
    <w:pPr>
      <w:pStyle w:val="23"/>
      <w:jc w:val="center"/>
    </w:pPr>
    <w:r>
      <w:rPr>
        <w:rFonts w:hint="eastAsia"/>
        <w:lang w:val="zh-CN"/>
      </w:rPr>
      <w:t>第</w:t>
    </w:r>
    <w:r>
      <w:rPr>
        <w:lang w:val="zh-CN"/>
      </w:rPr>
      <w:t xml:space="preserve"> </w:t>
    </w:r>
    <w:r>
      <w:fldChar w:fldCharType="begin"/>
    </w:r>
    <w:r>
      <w:instrText xml:space="preserve">PAGE  \* Arabic  \* MERGEFORMAT</w:instrText>
    </w:r>
    <w:r>
      <w:fldChar w:fldCharType="separate"/>
    </w:r>
    <w:r>
      <w:rPr>
        <w:lang w:val="zh-CN"/>
      </w:rPr>
      <w:t>1</w:t>
    </w:r>
    <w:r>
      <w:rPr>
        <w:lang w:val="zh-CN"/>
      </w:rPr>
      <w:fldChar w:fldCharType="end"/>
    </w:r>
    <w:r>
      <w:rPr>
        <w:rFonts w:hint="eastAsia"/>
        <w:lang w:val="zh-CN"/>
      </w:rPr>
      <w:t xml:space="preserve"> 页 共</w:t>
    </w:r>
    <w:r>
      <w:rPr>
        <w:lang w:val="zh-CN"/>
      </w:rPr>
      <w:t xml:space="preserve"> </w:t>
    </w:r>
    <w:r>
      <w:fldChar w:fldCharType="begin"/>
    </w:r>
    <w:r>
      <w:instrText xml:space="preserve">NUMPAGES  \* Arabic  \* MERGEFORMAT</w:instrText>
    </w:r>
    <w:r>
      <w:fldChar w:fldCharType="separate"/>
    </w:r>
    <w:r>
      <w:rPr>
        <w:lang w:val="zh-CN"/>
      </w:rPr>
      <w:t>1</w:t>
    </w:r>
    <w:r>
      <w:rPr>
        <w:lang w:val="zh-CN"/>
      </w:rPr>
      <w:fldChar w:fldCharType="end"/>
    </w:r>
    <w:r>
      <w:rPr>
        <w:rFonts w:hint="eastAsia"/>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68BE4">
    <w:pPr>
      <w:pStyle w:val="24"/>
      <w:pBdr>
        <w:bottom w:val="none" w:color="auto" w:sz="0" w:space="0"/>
      </w:pBdr>
      <w:jc w:val="left"/>
    </w:pPr>
    <w:r>
      <w:drawing>
        <wp:inline distT="0" distB="0" distL="0" distR="0">
          <wp:extent cx="3374390" cy="777240"/>
          <wp:effectExtent l="0" t="0" r="0" b="3810"/>
          <wp:docPr id="10526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97"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374967" cy="77724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6CD81">
    <w:pPr>
      <w:pStyle w:val="24"/>
      <w:pBdr>
        <w:bottom w:val="none" w:color="auto" w:sz="0" w:space="0"/>
      </w:pBdr>
      <w:jc w:val="left"/>
    </w:pPr>
    <w:r>
      <w:drawing>
        <wp:inline distT="0" distB="0" distL="0" distR="0">
          <wp:extent cx="3374390" cy="777240"/>
          <wp:effectExtent l="0" t="0" r="0" b="3810"/>
          <wp:docPr id="1095605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05445"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374967" cy="77724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1C6EC7"/>
    <w:multiLevelType w:val="multilevel"/>
    <w:tmpl w:val="071C6EC7"/>
    <w:lvl w:ilvl="0" w:tentative="0">
      <w:start w:val="1"/>
      <w:numFmt w:val="decimal"/>
      <w:lvlText w:val="（%1）"/>
      <w:lvlJc w:val="left"/>
      <w:pPr>
        <w:ind w:left="865" w:hanging="440"/>
      </w:pPr>
      <w:rPr>
        <w:rFonts w:hint="eastAsia"/>
      </w:rPr>
    </w:lvl>
    <w:lvl w:ilvl="1" w:tentative="0">
      <w:start w:val="1"/>
      <w:numFmt w:val="decimal"/>
      <w:lvlText w:val="（%2）"/>
      <w:lvlJc w:val="left"/>
      <w:pPr>
        <w:ind w:left="880" w:hanging="440"/>
      </w:pPr>
      <w:rPr>
        <w:rFonts w:hint="eastAsia"/>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A080793"/>
    <w:multiLevelType w:val="multilevel"/>
    <w:tmpl w:val="0A080793"/>
    <w:lvl w:ilvl="0" w:tentative="0">
      <w:start w:val="1"/>
      <w:numFmt w:val="bullet"/>
      <w:lvlText w:val=""/>
      <w:lvlJc w:val="left"/>
      <w:pPr>
        <w:ind w:left="1305" w:hanging="440"/>
      </w:pPr>
      <w:rPr>
        <w:rFonts w:hint="default" w:ascii="Wingdings" w:hAnsi="Wingdings"/>
      </w:rPr>
    </w:lvl>
    <w:lvl w:ilvl="1" w:tentative="0">
      <w:start w:val="1"/>
      <w:numFmt w:val="bullet"/>
      <w:lvlText w:val=""/>
      <w:lvlJc w:val="left"/>
      <w:pPr>
        <w:ind w:left="1745" w:hanging="440"/>
      </w:pPr>
      <w:rPr>
        <w:rFonts w:hint="default" w:ascii="Wingdings" w:hAnsi="Wingdings"/>
      </w:rPr>
    </w:lvl>
    <w:lvl w:ilvl="2" w:tentative="0">
      <w:start w:val="1"/>
      <w:numFmt w:val="bullet"/>
      <w:lvlText w:val=""/>
      <w:lvlJc w:val="left"/>
      <w:pPr>
        <w:ind w:left="2185" w:hanging="440"/>
      </w:pPr>
      <w:rPr>
        <w:rFonts w:hint="default" w:ascii="Wingdings" w:hAnsi="Wingdings"/>
      </w:rPr>
    </w:lvl>
    <w:lvl w:ilvl="3" w:tentative="0">
      <w:start w:val="1"/>
      <w:numFmt w:val="bullet"/>
      <w:lvlText w:val=""/>
      <w:lvlJc w:val="left"/>
      <w:pPr>
        <w:ind w:left="2625" w:hanging="440"/>
      </w:pPr>
      <w:rPr>
        <w:rFonts w:hint="default" w:ascii="Wingdings" w:hAnsi="Wingdings"/>
      </w:rPr>
    </w:lvl>
    <w:lvl w:ilvl="4" w:tentative="0">
      <w:start w:val="1"/>
      <w:numFmt w:val="bullet"/>
      <w:lvlText w:val=""/>
      <w:lvlJc w:val="left"/>
      <w:pPr>
        <w:ind w:left="3065" w:hanging="440"/>
      </w:pPr>
      <w:rPr>
        <w:rFonts w:hint="default" w:ascii="Wingdings" w:hAnsi="Wingdings"/>
      </w:rPr>
    </w:lvl>
    <w:lvl w:ilvl="5" w:tentative="0">
      <w:start w:val="1"/>
      <w:numFmt w:val="bullet"/>
      <w:lvlText w:val=""/>
      <w:lvlJc w:val="left"/>
      <w:pPr>
        <w:ind w:left="3505" w:hanging="440"/>
      </w:pPr>
      <w:rPr>
        <w:rFonts w:hint="default" w:ascii="Wingdings" w:hAnsi="Wingdings"/>
      </w:rPr>
    </w:lvl>
    <w:lvl w:ilvl="6" w:tentative="0">
      <w:start w:val="1"/>
      <w:numFmt w:val="bullet"/>
      <w:lvlText w:val=""/>
      <w:lvlJc w:val="left"/>
      <w:pPr>
        <w:ind w:left="3945" w:hanging="440"/>
      </w:pPr>
      <w:rPr>
        <w:rFonts w:hint="default" w:ascii="Wingdings" w:hAnsi="Wingdings"/>
      </w:rPr>
    </w:lvl>
    <w:lvl w:ilvl="7" w:tentative="0">
      <w:start w:val="1"/>
      <w:numFmt w:val="bullet"/>
      <w:lvlText w:val=""/>
      <w:lvlJc w:val="left"/>
      <w:pPr>
        <w:ind w:left="4385" w:hanging="440"/>
      </w:pPr>
      <w:rPr>
        <w:rFonts w:hint="default" w:ascii="Wingdings" w:hAnsi="Wingdings"/>
      </w:rPr>
    </w:lvl>
    <w:lvl w:ilvl="8" w:tentative="0">
      <w:start w:val="1"/>
      <w:numFmt w:val="bullet"/>
      <w:lvlText w:val=""/>
      <w:lvlJc w:val="left"/>
      <w:pPr>
        <w:ind w:left="4825" w:hanging="440"/>
      </w:pPr>
      <w:rPr>
        <w:rFonts w:hint="default" w:ascii="Wingdings" w:hAnsi="Wingdings"/>
      </w:rPr>
    </w:lvl>
  </w:abstractNum>
  <w:abstractNum w:abstractNumId="2">
    <w:nsid w:val="17A13D1B"/>
    <w:multiLevelType w:val="multilevel"/>
    <w:tmpl w:val="17A13D1B"/>
    <w:lvl w:ilvl="0" w:tentative="0">
      <w:start w:val="1"/>
      <w:numFmt w:val="bullet"/>
      <w:lvlText w:val=""/>
      <w:lvlJc w:val="left"/>
      <w:pPr>
        <w:ind w:left="1290" w:hanging="440"/>
      </w:pPr>
      <w:rPr>
        <w:rFonts w:hint="default" w:ascii="Wingdings" w:hAnsi="Wingdings"/>
      </w:rPr>
    </w:lvl>
    <w:lvl w:ilvl="1" w:tentative="0">
      <w:start w:val="1"/>
      <w:numFmt w:val="bullet"/>
      <w:lvlText w:val=""/>
      <w:lvlJc w:val="left"/>
      <w:pPr>
        <w:ind w:left="1730" w:hanging="440"/>
      </w:pPr>
      <w:rPr>
        <w:rFonts w:hint="default" w:ascii="Wingdings" w:hAnsi="Wingdings"/>
      </w:rPr>
    </w:lvl>
    <w:lvl w:ilvl="2" w:tentative="0">
      <w:start w:val="1"/>
      <w:numFmt w:val="bullet"/>
      <w:lvlText w:val=""/>
      <w:lvlJc w:val="left"/>
      <w:pPr>
        <w:ind w:left="2170" w:hanging="440"/>
      </w:pPr>
      <w:rPr>
        <w:rFonts w:hint="default" w:ascii="Wingdings" w:hAnsi="Wingdings"/>
      </w:rPr>
    </w:lvl>
    <w:lvl w:ilvl="3" w:tentative="0">
      <w:start w:val="1"/>
      <w:numFmt w:val="bullet"/>
      <w:lvlText w:val=""/>
      <w:lvlJc w:val="left"/>
      <w:pPr>
        <w:ind w:left="2610" w:hanging="440"/>
      </w:pPr>
      <w:rPr>
        <w:rFonts w:hint="default" w:ascii="Wingdings" w:hAnsi="Wingdings"/>
      </w:rPr>
    </w:lvl>
    <w:lvl w:ilvl="4" w:tentative="0">
      <w:start w:val="1"/>
      <w:numFmt w:val="bullet"/>
      <w:lvlText w:val=""/>
      <w:lvlJc w:val="left"/>
      <w:pPr>
        <w:ind w:left="3050" w:hanging="440"/>
      </w:pPr>
      <w:rPr>
        <w:rFonts w:hint="default" w:ascii="Wingdings" w:hAnsi="Wingdings"/>
      </w:rPr>
    </w:lvl>
    <w:lvl w:ilvl="5" w:tentative="0">
      <w:start w:val="1"/>
      <w:numFmt w:val="bullet"/>
      <w:lvlText w:val=""/>
      <w:lvlJc w:val="left"/>
      <w:pPr>
        <w:ind w:left="3490" w:hanging="440"/>
      </w:pPr>
      <w:rPr>
        <w:rFonts w:hint="default" w:ascii="Wingdings" w:hAnsi="Wingdings"/>
      </w:rPr>
    </w:lvl>
    <w:lvl w:ilvl="6" w:tentative="0">
      <w:start w:val="1"/>
      <w:numFmt w:val="bullet"/>
      <w:lvlText w:val=""/>
      <w:lvlJc w:val="left"/>
      <w:pPr>
        <w:ind w:left="3930" w:hanging="440"/>
      </w:pPr>
      <w:rPr>
        <w:rFonts w:hint="default" w:ascii="Wingdings" w:hAnsi="Wingdings"/>
      </w:rPr>
    </w:lvl>
    <w:lvl w:ilvl="7" w:tentative="0">
      <w:start w:val="1"/>
      <w:numFmt w:val="bullet"/>
      <w:lvlText w:val=""/>
      <w:lvlJc w:val="left"/>
      <w:pPr>
        <w:ind w:left="4370" w:hanging="440"/>
      </w:pPr>
      <w:rPr>
        <w:rFonts w:hint="default" w:ascii="Wingdings" w:hAnsi="Wingdings"/>
      </w:rPr>
    </w:lvl>
    <w:lvl w:ilvl="8" w:tentative="0">
      <w:start w:val="1"/>
      <w:numFmt w:val="bullet"/>
      <w:lvlText w:val=""/>
      <w:lvlJc w:val="left"/>
      <w:pPr>
        <w:ind w:left="4810" w:hanging="440"/>
      </w:pPr>
      <w:rPr>
        <w:rFonts w:hint="default" w:ascii="Wingdings" w:hAnsi="Wingdings"/>
      </w:rPr>
    </w:lvl>
  </w:abstractNum>
  <w:abstractNum w:abstractNumId="3">
    <w:nsid w:val="1B2757CE"/>
    <w:multiLevelType w:val="multilevel"/>
    <w:tmpl w:val="1B2757CE"/>
    <w:lvl w:ilvl="0" w:tentative="0">
      <w:start w:val="1"/>
      <w:numFmt w:val="bullet"/>
      <w:lvlText w:val=""/>
      <w:lvlJc w:val="left"/>
      <w:pPr>
        <w:ind w:left="1290" w:hanging="440"/>
      </w:pPr>
      <w:rPr>
        <w:rFonts w:hint="default" w:ascii="Wingdings" w:hAnsi="Wingdings"/>
      </w:rPr>
    </w:lvl>
    <w:lvl w:ilvl="1" w:tentative="0">
      <w:start w:val="1"/>
      <w:numFmt w:val="bullet"/>
      <w:lvlText w:val=""/>
      <w:lvlJc w:val="left"/>
      <w:pPr>
        <w:ind w:left="1730" w:hanging="440"/>
      </w:pPr>
      <w:rPr>
        <w:rFonts w:hint="default" w:ascii="Wingdings" w:hAnsi="Wingdings"/>
      </w:rPr>
    </w:lvl>
    <w:lvl w:ilvl="2" w:tentative="0">
      <w:start w:val="1"/>
      <w:numFmt w:val="bullet"/>
      <w:lvlText w:val=""/>
      <w:lvlJc w:val="left"/>
      <w:pPr>
        <w:ind w:left="2170" w:hanging="440"/>
      </w:pPr>
      <w:rPr>
        <w:rFonts w:hint="default" w:ascii="Wingdings" w:hAnsi="Wingdings"/>
      </w:rPr>
    </w:lvl>
    <w:lvl w:ilvl="3" w:tentative="0">
      <w:start w:val="1"/>
      <w:numFmt w:val="bullet"/>
      <w:lvlText w:val=""/>
      <w:lvlJc w:val="left"/>
      <w:pPr>
        <w:ind w:left="2610" w:hanging="440"/>
      </w:pPr>
      <w:rPr>
        <w:rFonts w:hint="default" w:ascii="Wingdings" w:hAnsi="Wingdings"/>
      </w:rPr>
    </w:lvl>
    <w:lvl w:ilvl="4" w:tentative="0">
      <w:start w:val="1"/>
      <w:numFmt w:val="bullet"/>
      <w:lvlText w:val=""/>
      <w:lvlJc w:val="left"/>
      <w:pPr>
        <w:ind w:left="3050" w:hanging="440"/>
      </w:pPr>
      <w:rPr>
        <w:rFonts w:hint="default" w:ascii="Wingdings" w:hAnsi="Wingdings"/>
      </w:rPr>
    </w:lvl>
    <w:lvl w:ilvl="5" w:tentative="0">
      <w:start w:val="1"/>
      <w:numFmt w:val="bullet"/>
      <w:lvlText w:val=""/>
      <w:lvlJc w:val="left"/>
      <w:pPr>
        <w:ind w:left="3490" w:hanging="440"/>
      </w:pPr>
      <w:rPr>
        <w:rFonts w:hint="default" w:ascii="Wingdings" w:hAnsi="Wingdings"/>
      </w:rPr>
    </w:lvl>
    <w:lvl w:ilvl="6" w:tentative="0">
      <w:start w:val="1"/>
      <w:numFmt w:val="bullet"/>
      <w:lvlText w:val=""/>
      <w:lvlJc w:val="left"/>
      <w:pPr>
        <w:ind w:left="3930" w:hanging="440"/>
      </w:pPr>
      <w:rPr>
        <w:rFonts w:hint="default" w:ascii="Wingdings" w:hAnsi="Wingdings"/>
      </w:rPr>
    </w:lvl>
    <w:lvl w:ilvl="7" w:tentative="0">
      <w:start w:val="1"/>
      <w:numFmt w:val="bullet"/>
      <w:lvlText w:val=""/>
      <w:lvlJc w:val="left"/>
      <w:pPr>
        <w:ind w:left="4370" w:hanging="440"/>
      </w:pPr>
      <w:rPr>
        <w:rFonts w:hint="default" w:ascii="Wingdings" w:hAnsi="Wingdings"/>
      </w:rPr>
    </w:lvl>
    <w:lvl w:ilvl="8" w:tentative="0">
      <w:start w:val="1"/>
      <w:numFmt w:val="bullet"/>
      <w:lvlText w:val=""/>
      <w:lvlJc w:val="left"/>
      <w:pPr>
        <w:ind w:left="4810" w:hanging="440"/>
      </w:pPr>
      <w:rPr>
        <w:rFonts w:hint="default" w:ascii="Wingdings" w:hAnsi="Wingdings"/>
      </w:rPr>
    </w:lvl>
  </w:abstractNum>
  <w:abstractNum w:abstractNumId="4">
    <w:nsid w:val="1D9A5AE4"/>
    <w:multiLevelType w:val="multilevel"/>
    <w:tmpl w:val="1D9A5AE4"/>
    <w:lvl w:ilvl="0" w:tentative="0">
      <w:start w:val="1"/>
      <w:numFmt w:val="decimal"/>
      <w:lvlText w:val="（%1）"/>
      <w:lvlJc w:val="left"/>
      <w:pPr>
        <w:ind w:left="865" w:hanging="440"/>
      </w:pPr>
      <w:rPr>
        <w:rFonts w:hint="eastAsia"/>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5">
    <w:nsid w:val="1EBE2438"/>
    <w:multiLevelType w:val="multilevel"/>
    <w:tmpl w:val="1EBE2438"/>
    <w:lvl w:ilvl="0" w:tentative="0">
      <w:start w:val="1"/>
      <w:numFmt w:val="chineseCountingThousand"/>
      <w:lvlText w:val="%1、"/>
      <w:lvlJc w:val="left"/>
      <w:pPr>
        <w:ind w:left="420" w:hanging="420"/>
      </w:pPr>
      <w:rPr>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306574D"/>
    <w:multiLevelType w:val="multilevel"/>
    <w:tmpl w:val="2306574D"/>
    <w:lvl w:ilvl="0" w:tentative="0">
      <w:start w:val="1"/>
      <w:numFmt w:val="lowerLetter"/>
      <w:lvlText w:val="%1)"/>
      <w:lvlJc w:val="left"/>
      <w:pPr>
        <w:ind w:left="1780" w:hanging="440"/>
      </w:pPr>
      <w:rPr>
        <w:rFonts w:hint="default" w:ascii="Times New Roman" w:hAnsi="Times New Roman" w:cs="Times New Roman"/>
      </w:rPr>
    </w:lvl>
    <w:lvl w:ilvl="1" w:tentative="0">
      <w:start w:val="1"/>
      <w:numFmt w:val="lowerLetter"/>
      <w:lvlText w:val="%2)"/>
      <w:lvlJc w:val="left"/>
      <w:pPr>
        <w:ind w:left="1300" w:hanging="440"/>
      </w:pPr>
      <w:rPr>
        <w:rFonts w:hint="default" w:ascii="Times New Roman" w:hAnsi="Times New Roman" w:cs="Times New Roman"/>
        <w:b w:val="0"/>
        <w:bCs/>
      </w:r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
    <w:nsid w:val="27C03CA4"/>
    <w:multiLevelType w:val="multilevel"/>
    <w:tmpl w:val="27C03CA4"/>
    <w:lvl w:ilvl="0" w:tentative="0">
      <w:start w:val="1"/>
      <w:numFmt w:val="decimal"/>
      <w:lvlText w:val="（%1）"/>
      <w:lvlJc w:val="left"/>
      <w:pPr>
        <w:ind w:left="865" w:hanging="440"/>
      </w:pPr>
      <w:rPr>
        <w:rFonts w:hint="eastAsia"/>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8">
    <w:nsid w:val="29EC0425"/>
    <w:multiLevelType w:val="multilevel"/>
    <w:tmpl w:val="29EC0425"/>
    <w:lvl w:ilvl="0" w:tentative="0">
      <w:start w:val="1"/>
      <w:numFmt w:val="decimal"/>
      <w:lvlText w:val="%1)"/>
      <w:lvlJc w:val="left"/>
      <w:pPr>
        <w:ind w:left="920" w:hanging="440"/>
      </w:pPr>
    </w:lvl>
    <w:lvl w:ilvl="1" w:tentative="0">
      <w:start w:val="1"/>
      <w:numFmt w:val="lowerLetter"/>
      <w:lvlText w:val="%2)"/>
      <w:lvlJc w:val="left"/>
      <w:pPr>
        <w:ind w:left="1360" w:hanging="440"/>
      </w:pPr>
      <w:rPr>
        <w:rFonts w:hint="default" w:ascii="Times New Roman" w:hAnsi="Times New Roman" w:cs="Times New Roman"/>
      </w:r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2A65201B"/>
    <w:multiLevelType w:val="multilevel"/>
    <w:tmpl w:val="2A65201B"/>
    <w:lvl w:ilvl="0" w:tentative="0">
      <w:start w:val="1"/>
      <w:numFmt w:val="decimal"/>
      <w:lvlText w:val="（%1）"/>
      <w:lvlJc w:val="left"/>
      <w:pPr>
        <w:ind w:left="865" w:hanging="440"/>
      </w:pPr>
      <w:rPr>
        <w:rFonts w:hint="eastAsia"/>
        <w:lang w:val="en-US"/>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10">
    <w:nsid w:val="32E65577"/>
    <w:multiLevelType w:val="multilevel"/>
    <w:tmpl w:val="32E6557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6A62C71"/>
    <w:multiLevelType w:val="multilevel"/>
    <w:tmpl w:val="36A62C71"/>
    <w:lvl w:ilvl="0" w:tentative="0">
      <w:start w:val="1"/>
      <w:numFmt w:val="lowerLetter"/>
      <w:lvlText w:val="%1)"/>
      <w:lvlJc w:val="left"/>
      <w:pPr>
        <w:ind w:left="420" w:hanging="420"/>
      </w:pPr>
      <w:rPr>
        <w:rFonts w:hint="default" w:ascii="Times New Roman" w:hAnsi="Times New Roman" w:cs="Times New Roman"/>
        <w:b w:val="0"/>
        <w:bC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B490D58"/>
    <w:multiLevelType w:val="multilevel"/>
    <w:tmpl w:val="3B490D58"/>
    <w:lvl w:ilvl="0" w:tentative="0">
      <w:start w:val="1"/>
      <w:numFmt w:val="decimal"/>
      <w:lvlText w:val="（%1）"/>
      <w:lvlJc w:val="left"/>
      <w:pPr>
        <w:ind w:left="865" w:hanging="440"/>
      </w:pPr>
      <w:rPr>
        <w:rFonts w:hint="eastAsia"/>
        <w:b w:val="0"/>
        <w:bCs/>
        <w:lang w:val="en-US"/>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13">
    <w:nsid w:val="3BBD7C17"/>
    <w:multiLevelType w:val="multilevel"/>
    <w:tmpl w:val="3BBD7C1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4AD637CF"/>
    <w:multiLevelType w:val="multilevel"/>
    <w:tmpl w:val="4AD637C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4B62277B"/>
    <w:multiLevelType w:val="multilevel"/>
    <w:tmpl w:val="4B62277B"/>
    <w:lvl w:ilvl="0" w:tentative="0">
      <w:start w:val="1"/>
      <w:numFmt w:val="decimal"/>
      <w:lvlText w:val="（%1）"/>
      <w:lvlJc w:val="left"/>
      <w:pPr>
        <w:ind w:left="865" w:hanging="440"/>
      </w:pPr>
      <w:rPr>
        <w:rFonts w:hint="eastAsia"/>
        <w:b w:val="0"/>
        <w:bCs/>
        <w:lang w:val="en-US"/>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16">
    <w:nsid w:val="4DA75444"/>
    <w:multiLevelType w:val="multilevel"/>
    <w:tmpl w:val="4DA75444"/>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554906C7"/>
    <w:multiLevelType w:val="multilevel"/>
    <w:tmpl w:val="554906C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5AC5F20"/>
    <w:multiLevelType w:val="multilevel"/>
    <w:tmpl w:val="55AC5F20"/>
    <w:lvl w:ilvl="0" w:tentative="0">
      <w:start w:val="1"/>
      <w:numFmt w:val="decimal"/>
      <w:lvlText w:val="（%1）"/>
      <w:lvlJc w:val="left"/>
      <w:pPr>
        <w:ind w:left="865" w:hanging="440"/>
      </w:pPr>
      <w:rPr>
        <w:rFonts w:hint="eastAsia"/>
        <w:b w:val="0"/>
        <w:bCs/>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19">
    <w:nsid w:val="59431FC1"/>
    <w:multiLevelType w:val="multilevel"/>
    <w:tmpl w:val="59431FC1"/>
    <w:lvl w:ilvl="0" w:tentative="0">
      <w:start w:val="1"/>
      <w:numFmt w:val="bullet"/>
      <w:lvlText w:val=""/>
      <w:lvlJc w:val="left"/>
      <w:pPr>
        <w:ind w:left="1290" w:hanging="440"/>
      </w:pPr>
      <w:rPr>
        <w:rFonts w:hint="default" w:ascii="Wingdings" w:hAnsi="Wingdings"/>
      </w:rPr>
    </w:lvl>
    <w:lvl w:ilvl="1" w:tentative="0">
      <w:start w:val="1"/>
      <w:numFmt w:val="bullet"/>
      <w:lvlText w:val=""/>
      <w:lvlJc w:val="left"/>
      <w:pPr>
        <w:ind w:left="1730" w:hanging="440"/>
      </w:pPr>
      <w:rPr>
        <w:rFonts w:hint="default" w:ascii="Wingdings" w:hAnsi="Wingdings"/>
      </w:rPr>
    </w:lvl>
    <w:lvl w:ilvl="2" w:tentative="0">
      <w:start w:val="1"/>
      <w:numFmt w:val="bullet"/>
      <w:lvlText w:val=""/>
      <w:lvlJc w:val="left"/>
      <w:pPr>
        <w:ind w:left="2170" w:hanging="440"/>
      </w:pPr>
      <w:rPr>
        <w:rFonts w:hint="default" w:ascii="Wingdings" w:hAnsi="Wingdings"/>
      </w:rPr>
    </w:lvl>
    <w:lvl w:ilvl="3" w:tentative="0">
      <w:start w:val="1"/>
      <w:numFmt w:val="bullet"/>
      <w:lvlText w:val=""/>
      <w:lvlJc w:val="left"/>
      <w:pPr>
        <w:ind w:left="2610" w:hanging="440"/>
      </w:pPr>
      <w:rPr>
        <w:rFonts w:hint="default" w:ascii="Wingdings" w:hAnsi="Wingdings"/>
      </w:rPr>
    </w:lvl>
    <w:lvl w:ilvl="4" w:tentative="0">
      <w:start w:val="1"/>
      <w:numFmt w:val="bullet"/>
      <w:lvlText w:val=""/>
      <w:lvlJc w:val="left"/>
      <w:pPr>
        <w:ind w:left="3050" w:hanging="440"/>
      </w:pPr>
      <w:rPr>
        <w:rFonts w:hint="default" w:ascii="Wingdings" w:hAnsi="Wingdings"/>
      </w:rPr>
    </w:lvl>
    <w:lvl w:ilvl="5" w:tentative="0">
      <w:start w:val="1"/>
      <w:numFmt w:val="bullet"/>
      <w:lvlText w:val=""/>
      <w:lvlJc w:val="left"/>
      <w:pPr>
        <w:ind w:left="3490" w:hanging="440"/>
      </w:pPr>
      <w:rPr>
        <w:rFonts w:hint="default" w:ascii="Wingdings" w:hAnsi="Wingdings"/>
      </w:rPr>
    </w:lvl>
    <w:lvl w:ilvl="6" w:tentative="0">
      <w:start w:val="1"/>
      <w:numFmt w:val="bullet"/>
      <w:lvlText w:val=""/>
      <w:lvlJc w:val="left"/>
      <w:pPr>
        <w:ind w:left="3930" w:hanging="440"/>
      </w:pPr>
      <w:rPr>
        <w:rFonts w:hint="default" w:ascii="Wingdings" w:hAnsi="Wingdings"/>
      </w:rPr>
    </w:lvl>
    <w:lvl w:ilvl="7" w:tentative="0">
      <w:start w:val="1"/>
      <w:numFmt w:val="bullet"/>
      <w:lvlText w:val=""/>
      <w:lvlJc w:val="left"/>
      <w:pPr>
        <w:ind w:left="4370" w:hanging="440"/>
      </w:pPr>
      <w:rPr>
        <w:rFonts w:hint="default" w:ascii="Wingdings" w:hAnsi="Wingdings"/>
      </w:rPr>
    </w:lvl>
    <w:lvl w:ilvl="8" w:tentative="0">
      <w:start w:val="1"/>
      <w:numFmt w:val="bullet"/>
      <w:lvlText w:val=""/>
      <w:lvlJc w:val="left"/>
      <w:pPr>
        <w:ind w:left="4810" w:hanging="440"/>
      </w:pPr>
      <w:rPr>
        <w:rFonts w:hint="default" w:ascii="Wingdings" w:hAnsi="Wingdings"/>
      </w:rPr>
    </w:lvl>
  </w:abstractNum>
  <w:abstractNum w:abstractNumId="20">
    <w:nsid w:val="63836437"/>
    <w:multiLevelType w:val="multilevel"/>
    <w:tmpl w:val="6383643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E947098"/>
    <w:multiLevelType w:val="multilevel"/>
    <w:tmpl w:val="6E947098"/>
    <w:lvl w:ilvl="0" w:tentative="0">
      <w:start w:val="1"/>
      <w:numFmt w:val="decimal"/>
      <w:lvlText w:val="（%1）"/>
      <w:lvlJc w:val="left"/>
      <w:pPr>
        <w:ind w:left="865" w:hanging="440"/>
      </w:pPr>
      <w:rPr>
        <w:rFonts w:hint="eastAsia"/>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22">
    <w:nsid w:val="71A9255A"/>
    <w:multiLevelType w:val="multilevel"/>
    <w:tmpl w:val="71A9255A"/>
    <w:lvl w:ilvl="0" w:tentative="0">
      <w:start w:val="1"/>
      <w:numFmt w:val="decimal"/>
      <w:lvlText w:val="（%1）"/>
      <w:lvlJc w:val="left"/>
      <w:pPr>
        <w:ind w:left="865" w:hanging="440"/>
      </w:pPr>
      <w:rPr>
        <w:rFonts w:hint="default" w:ascii="Times New Roman" w:hAnsi="Times New Roman" w:cs="Times New Roman"/>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23">
    <w:nsid w:val="735C5701"/>
    <w:multiLevelType w:val="multilevel"/>
    <w:tmpl w:val="735C5701"/>
    <w:lvl w:ilvl="0" w:tentative="0">
      <w:start w:val="1"/>
      <w:numFmt w:val="decimal"/>
      <w:lvlText w:val="（%1）"/>
      <w:lvlJc w:val="left"/>
      <w:pPr>
        <w:ind w:left="1140" w:hanging="720"/>
      </w:pPr>
      <w:rPr>
        <w:rFonts w:hint="default" w:ascii="Times New Roman" w:hAnsi="Times New Roman" w:cs="Times New Roman"/>
        <w:b w:val="0"/>
        <w:bCs/>
      </w:rPr>
    </w:lvl>
    <w:lvl w:ilvl="1" w:tentative="0">
      <w:start w:val="1"/>
      <w:numFmt w:val="upperLetter"/>
      <w:lvlText w:val="%2）"/>
      <w:lvlJc w:val="left"/>
      <w:pPr>
        <w:ind w:left="1280" w:hanging="420"/>
      </w:pPr>
      <w:rPr>
        <w:rFonts w:hint="default"/>
        <w:b/>
      </w:r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5"/>
  </w:num>
  <w:num w:numId="2">
    <w:abstractNumId w:val="11"/>
  </w:num>
  <w:num w:numId="3">
    <w:abstractNumId w:val="23"/>
  </w:num>
  <w:num w:numId="4">
    <w:abstractNumId w:val="0"/>
  </w:num>
  <w:num w:numId="5">
    <w:abstractNumId w:val="7"/>
  </w:num>
  <w:num w:numId="6">
    <w:abstractNumId w:val="1"/>
  </w:num>
  <w:num w:numId="7">
    <w:abstractNumId w:val="4"/>
  </w:num>
  <w:num w:numId="8">
    <w:abstractNumId w:val="9"/>
  </w:num>
  <w:num w:numId="9">
    <w:abstractNumId w:val="19"/>
  </w:num>
  <w:num w:numId="10">
    <w:abstractNumId w:val="3"/>
  </w:num>
  <w:num w:numId="11">
    <w:abstractNumId w:val="2"/>
  </w:num>
  <w:num w:numId="12">
    <w:abstractNumId w:val="6"/>
  </w:num>
  <w:num w:numId="13">
    <w:abstractNumId w:val="8"/>
  </w:num>
  <w:num w:numId="14">
    <w:abstractNumId w:val="22"/>
  </w:num>
  <w:num w:numId="15">
    <w:abstractNumId w:val="12"/>
  </w:num>
  <w:num w:numId="16">
    <w:abstractNumId w:val="15"/>
  </w:num>
  <w:num w:numId="17">
    <w:abstractNumId w:val="18"/>
  </w:num>
  <w:num w:numId="18">
    <w:abstractNumId w:val="21"/>
  </w:num>
  <w:num w:numId="19">
    <w:abstractNumId w:val="20"/>
  </w:num>
  <w:num w:numId="20">
    <w:abstractNumId w:val="17"/>
  </w:num>
  <w:num w:numId="21">
    <w:abstractNumId w:val="14"/>
  </w:num>
  <w:num w:numId="22">
    <w:abstractNumId w:val="13"/>
  </w:num>
  <w:num w:numId="23">
    <w:abstractNumId w:val="10"/>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1ZWU3MWZlODFjNjQ3NGRlMGM5OWY2YjkyZWY3YWIifQ=="/>
  </w:docVars>
  <w:rsids>
    <w:rsidRoot w:val="00A70DC5"/>
    <w:rsid w:val="00010C44"/>
    <w:rsid w:val="00011FFD"/>
    <w:rsid w:val="00020792"/>
    <w:rsid w:val="00021281"/>
    <w:rsid w:val="00024491"/>
    <w:rsid w:val="00025533"/>
    <w:rsid w:val="000265DB"/>
    <w:rsid w:val="00032CDC"/>
    <w:rsid w:val="0003338C"/>
    <w:rsid w:val="000351F6"/>
    <w:rsid w:val="00037416"/>
    <w:rsid w:val="00044BDA"/>
    <w:rsid w:val="000517BD"/>
    <w:rsid w:val="00052121"/>
    <w:rsid w:val="00053685"/>
    <w:rsid w:val="00054A0E"/>
    <w:rsid w:val="00055338"/>
    <w:rsid w:val="0005561C"/>
    <w:rsid w:val="0005742B"/>
    <w:rsid w:val="000612DC"/>
    <w:rsid w:val="00062B88"/>
    <w:rsid w:val="000636CD"/>
    <w:rsid w:val="000639DC"/>
    <w:rsid w:val="0006419A"/>
    <w:rsid w:val="00064275"/>
    <w:rsid w:val="00064B7A"/>
    <w:rsid w:val="00066E83"/>
    <w:rsid w:val="000679C7"/>
    <w:rsid w:val="00070BFE"/>
    <w:rsid w:val="00073EC0"/>
    <w:rsid w:val="000746E9"/>
    <w:rsid w:val="00082DC1"/>
    <w:rsid w:val="0008425E"/>
    <w:rsid w:val="00085B85"/>
    <w:rsid w:val="00090EBB"/>
    <w:rsid w:val="00092DD1"/>
    <w:rsid w:val="000938DB"/>
    <w:rsid w:val="00093BD9"/>
    <w:rsid w:val="000952C5"/>
    <w:rsid w:val="00096F0A"/>
    <w:rsid w:val="000A114E"/>
    <w:rsid w:val="000A1F4B"/>
    <w:rsid w:val="000A2A4C"/>
    <w:rsid w:val="000A74E4"/>
    <w:rsid w:val="000B0787"/>
    <w:rsid w:val="000B1B1F"/>
    <w:rsid w:val="000B38CD"/>
    <w:rsid w:val="000B39DD"/>
    <w:rsid w:val="000B4032"/>
    <w:rsid w:val="000B5521"/>
    <w:rsid w:val="000B7D85"/>
    <w:rsid w:val="000C41D9"/>
    <w:rsid w:val="000C59D1"/>
    <w:rsid w:val="000C5A71"/>
    <w:rsid w:val="000D4436"/>
    <w:rsid w:val="000D4CB7"/>
    <w:rsid w:val="000D5602"/>
    <w:rsid w:val="000E363E"/>
    <w:rsid w:val="001020F1"/>
    <w:rsid w:val="0011074F"/>
    <w:rsid w:val="00112D6B"/>
    <w:rsid w:val="00116690"/>
    <w:rsid w:val="0011694A"/>
    <w:rsid w:val="0011747F"/>
    <w:rsid w:val="00134B52"/>
    <w:rsid w:val="00143118"/>
    <w:rsid w:val="00143411"/>
    <w:rsid w:val="00150111"/>
    <w:rsid w:val="001502A7"/>
    <w:rsid w:val="00156B17"/>
    <w:rsid w:val="00160993"/>
    <w:rsid w:val="00160EB2"/>
    <w:rsid w:val="001643B8"/>
    <w:rsid w:val="00175591"/>
    <w:rsid w:val="00177C74"/>
    <w:rsid w:val="0018110F"/>
    <w:rsid w:val="001848F3"/>
    <w:rsid w:val="00185826"/>
    <w:rsid w:val="001878FE"/>
    <w:rsid w:val="0019081F"/>
    <w:rsid w:val="00190A35"/>
    <w:rsid w:val="00190ABE"/>
    <w:rsid w:val="00192BE3"/>
    <w:rsid w:val="00196273"/>
    <w:rsid w:val="00196591"/>
    <w:rsid w:val="001A06BA"/>
    <w:rsid w:val="001A2A18"/>
    <w:rsid w:val="001A3102"/>
    <w:rsid w:val="001A5939"/>
    <w:rsid w:val="001B0F6F"/>
    <w:rsid w:val="001B2F93"/>
    <w:rsid w:val="001B34F4"/>
    <w:rsid w:val="001B7E5A"/>
    <w:rsid w:val="001C1EEC"/>
    <w:rsid w:val="001C2010"/>
    <w:rsid w:val="001C305C"/>
    <w:rsid w:val="001C6936"/>
    <w:rsid w:val="001C6D31"/>
    <w:rsid w:val="001C7458"/>
    <w:rsid w:val="001D1B1C"/>
    <w:rsid w:val="001D1CA6"/>
    <w:rsid w:val="001D2898"/>
    <w:rsid w:val="001D55F3"/>
    <w:rsid w:val="001D5E31"/>
    <w:rsid w:val="001E02F7"/>
    <w:rsid w:val="001E0B87"/>
    <w:rsid w:val="001E0CFD"/>
    <w:rsid w:val="001E30AA"/>
    <w:rsid w:val="001E50AD"/>
    <w:rsid w:val="001E629C"/>
    <w:rsid w:val="001E7C12"/>
    <w:rsid w:val="001F1800"/>
    <w:rsid w:val="001F313B"/>
    <w:rsid w:val="001F388A"/>
    <w:rsid w:val="001F3ACA"/>
    <w:rsid w:val="001F71B6"/>
    <w:rsid w:val="0020066A"/>
    <w:rsid w:val="00211218"/>
    <w:rsid w:val="00211570"/>
    <w:rsid w:val="002122D5"/>
    <w:rsid w:val="00212D85"/>
    <w:rsid w:val="002131D1"/>
    <w:rsid w:val="00215EE9"/>
    <w:rsid w:val="002162BB"/>
    <w:rsid w:val="002200ED"/>
    <w:rsid w:val="002220B3"/>
    <w:rsid w:val="00222129"/>
    <w:rsid w:val="002233C4"/>
    <w:rsid w:val="002243F2"/>
    <w:rsid w:val="002255F1"/>
    <w:rsid w:val="002267CF"/>
    <w:rsid w:val="00231C54"/>
    <w:rsid w:val="0023677E"/>
    <w:rsid w:val="002368C6"/>
    <w:rsid w:val="002376F8"/>
    <w:rsid w:val="00237B6B"/>
    <w:rsid w:val="0024184F"/>
    <w:rsid w:val="00241FCC"/>
    <w:rsid w:val="00243D53"/>
    <w:rsid w:val="00250772"/>
    <w:rsid w:val="00250CDD"/>
    <w:rsid w:val="00250CF0"/>
    <w:rsid w:val="00251565"/>
    <w:rsid w:val="00261401"/>
    <w:rsid w:val="002634B7"/>
    <w:rsid w:val="002760CD"/>
    <w:rsid w:val="0028237D"/>
    <w:rsid w:val="00283181"/>
    <w:rsid w:val="00284689"/>
    <w:rsid w:val="00292380"/>
    <w:rsid w:val="00295C4C"/>
    <w:rsid w:val="00297132"/>
    <w:rsid w:val="002A044C"/>
    <w:rsid w:val="002A2CA1"/>
    <w:rsid w:val="002A3920"/>
    <w:rsid w:val="002A5115"/>
    <w:rsid w:val="002A7F3A"/>
    <w:rsid w:val="002B0C21"/>
    <w:rsid w:val="002B24E7"/>
    <w:rsid w:val="002B2D2B"/>
    <w:rsid w:val="002C2D52"/>
    <w:rsid w:val="002C5743"/>
    <w:rsid w:val="002C6864"/>
    <w:rsid w:val="002D0606"/>
    <w:rsid w:val="002D0F11"/>
    <w:rsid w:val="002D129D"/>
    <w:rsid w:val="002D2FCF"/>
    <w:rsid w:val="002D42B6"/>
    <w:rsid w:val="002D6D29"/>
    <w:rsid w:val="002E079C"/>
    <w:rsid w:val="002E7DA2"/>
    <w:rsid w:val="002E7F64"/>
    <w:rsid w:val="002F484F"/>
    <w:rsid w:val="002F4BEA"/>
    <w:rsid w:val="003016FB"/>
    <w:rsid w:val="0030347D"/>
    <w:rsid w:val="003038F7"/>
    <w:rsid w:val="00303A96"/>
    <w:rsid w:val="00304BF3"/>
    <w:rsid w:val="00310AC6"/>
    <w:rsid w:val="003152CD"/>
    <w:rsid w:val="00316033"/>
    <w:rsid w:val="0031655B"/>
    <w:rsid w:val="00321137"/>
    <w:rsid w:val="003216DD"/>
    <w:rsid w:val="00321730"/>
    <w:rsid w:val="00321B20"/>
    <w:rsid w:val="003249FB"/>
    <w:rsid w:val="003303A1"/>
    <w:rsid w:val="00333EBD"/>
    <w:rsid w:val="00335C7F"/>
    <w:rsid w:val="00335D6A"/>
    <w:rsid w:val="003427BD"/>
    <w:rsid w:val="00342834"/>
    <w:rsid w:val="00344677"/>
    <w:rsid w:val="0034469A"/>
    <w:rsid w:val="00344E08"/>
    <w:rsid w:val="00345758"/>
    <w:rsid w:val="003477AC"/>
    <w:rsid w:val="00350382"/>
    <w:rsid w:val="0035084F"/>
    <w:rsid w:val="00352093"/>
    <w:rsid w:val="0035216F"/>
    <w:rsid w:val="00352A64"/>
    <w:rsid w:val="00352BC7"/>
    <w:rsid w:val="00353AD9"/>
    <w:rsid w:val="00354C21"/>
    <w:rsid w:val="00354D73"/>
    <w:rsid w:val="0035595E"/>
    <w:rsid w:val="00357966"/>
    <w:rsid w:val="0036417D"/>
    <w:rsid w:val="003659C8"/>
    <w:rsid w:val="0037017B"/>
    <w:rsid w:val="0037026A"/>
    <w:rsid w:val="003719DE"/>
    <w:rsid w:val="0037290E"/>
    <w:rsid w:val="00373170"/>
    <w:rsid w:val="003772C5"/>
    <w:rsid w:val="00380EE9"/>
    <w:rsid w:val="00381F6F"/>
    <w:rsid w:val="003955FC"/>
    <w:rsid w:val="00396362"/>
    <w:rsid w:val="003A0BC6"/>
    <w:rsid w:val="003A7376"/>
    <w:rsid w:val="003B15FE"/>
    <w:rsid w:val="003B21E6"/>
    <w:rsid w:val="003B29D3"/>
    <w:rsid w:val="003B4C9D"/>
    <w:rsid w:val="003B530A"/>
    <w:rsid w:val="003B7B57"/>
    <w:rsid w:val="003C11BA"/>
    <w:rsid w:val="003C39CA"/>
    <w:rsid w:val="003C6581"/>
    <w:rsid w:val="003C6C01"/>
    <w:rsid w:val="003C7052"/>
    <w:rsid w:val="003C734E"/>
    <w:rsid w:val="003D0762"/>
    <w:rsid w:val="003D1993"/>
    <w:rsid w:val="003D2E13"/>
    <w:rsid w:val="003D4034"/>
    <w:rsid w:val="003D50FD"/>
    <w:rsid w:val="003E07B2"/>
    <w:rsid w:val="003E3859"/>
    <w:rsid w:val="003E7662"/>
    <w:rsid w:val="003E7BB0"/>
    <w:rsid w:val="003F1FC2"/>
    <w:rsid w:val="003F2FB7"/>
    <w:rsid w:val="003F492C"/>
    <w:rsid w:val="00401965"/>
    <w:rsid w:val="00402A0C"/>
    <w:rsid w:val="00402E79"/>
    <w:rsid w:val="00406905"/>
    <w:rsid w:val="00406C13"/>
    <w:rsid w:val="004104FF"/>
    <w:rsid w:val="00410963"/>
    <w:rsid w:val="00410B28"/>
    <w:rsid w:val="00411D7B"/>
    <w:rsid w:val="00414107"/>
    <w:rsid w:val="00421B21"/>
    <w:rsid w:val="00422021"/>
    <w:rsid w:val="004239A2"/>
    <w:rsid w:val="004275D5"/>
    <w:rsid w:val="00427A9E"/>
    <w:rsid w:val="004305D8"/>
    <w:rsid w:val="0043139A"/>
    <w:rsid w:val="00432A78"/>
    <w:rsid w:val="00433CA5"/>
    <w:rsid w:val="004341BD"/>
    <w:rsid w:val="004366AF"/>
    <w:rsid w:val="0043706E"/>
    <w:rsid w:val="00437D02"/>
    <w:rsid w:val="00443768"/>
    <w:rsid w:val="004524B5"/>
    <w:rsid w:val="004550D2"/>
    <w:rsid w:val="00455D66"/>
    <w:rsid w:val="00461292"/>
    <w:rsid w:val="00461E8E"/>
    <w:rsid w:val="00462368"/>
    <w:rsid w:val="00463ADF"/>
    <w:rsid w:val="00465E4C"/>
    <w:rsid w:val="004709DC"/>
    <w:rsid w:val="00475BA2"/>
    <w:rsid w:val="004806FC"/>
    <w:rsid w:val="00482AF0"/>
    <w:rsid w:val="004833C7"/>
    <w:rsid w:val="00485862"/>
    <w:rsid w:val="004864AF"/>
    <w:rsid w:val="00490BC9"/>
    <w:rsid w:val="00491F24"/>
    <w:rsid w:val="0049772B"/>
    <w:rsid w:val="004B0A83"/>
    <w:rsid w:val="004B2B62"/>
    <w:rsid w:val="004B390E"/>
    <w:rsid w:val="004B3B67"/>
    <w:rsid w:val="004C0178"/>
    <w:rsid w:val="004C39E6"/>
    <w:rsid w:val="004D2B3A"/>
    <w:rsid w:val="004D2D58"/>
    <w:rsid w:val="004D75F6"/>
    <w:rsid w:val="004E7B44"/>
    <w:rsid w:val="004F0522"/>
    <w:rsid w:val="004F2A98"/>
    <w:rsid w:val="004F48FD"/>
    <w:rsid w:val="004F6126"/>
    <w:rsid w:val="005001F4"/>
    <w:rsid w:val="00500A7F"/>
    <w:rsid w:val="00501A58"/>
    <w:rsid w:val="00502CDC"/>
    <w:rsid w:val="00506203"/>
    <w:rsid w:val="00510619"/>
    <w:rsid w:val="005172F6"/>
    <w:rsid w:val="00520C3C"/>
    <w:rsid w:val="005214A8"/>
    <w:rsid w:val="00533AFA"/>
    <w:rsid w:val="005358E4"/>
    <w:rsid w:val="005370B0"/>
    <w:rsid w:val="00537592"/>
    <w:rsid w:val="0054089E"/>
    <w:rsid w:val="00541D2A"/>
    <w:rsid w:val="0054228E"/>
    <w:rsid w:val="00543E44"/>
    <w:rsid w:val="00553B0F"/>
    <w:rsid w:val="00554184"/>
    <w:rsid w:val="005575F6"/>
    <w:rsid w:val="00561092"/>
    <w:rsid w:val="00562761"/>
    <w:rsid w:val="00570BCB"/>
    <w:rsid w:val="00571193"/>
    <w:rsid w:val="00572195"/>
    <w:rsid w:val="005738B0"/>
    <w:rsid w:val="00574203"/>
    <w:rsid w:val="005752F9"/>
    <w:rsid w:val="00575F42"/>
    <w:rsid w:val="005771D6"/>
    <w:rsid w:val="005821A0"/>
    <w:rsid w:val="00583970"/>
    <w:rsid w:val="00584A0B"/>
    <w:rsid w:val="00587456"/>
    <w:rsid w:val="005939AF"/>
    <w:rsid w:val="00596EB4"/>
    <w:rsid w:val="00597948"/>
    <w:rsid w:val="005A3F6E"/>
    <w:rsid w:val="005A5B6F"/>
    <w:rsid w:val="005A73FB"/>
    <w:rsid w:val="005B42DB"/>
    <w:rsid w:val="005C1112"/>
    <w:rsid w:val="005C7D73"/>
    <w:rsid w:val="005D1811"/>
    <w:rsid w:val="005D7D38"/>
    <w:rsid w:val="005D7E7D"/>
    <w:rsid w:val="005E1ED7"/>
    <w:rsid w:val="005E2C03"/>
    <w:rsid w:val="005E2CA7"/>
    <w:rsid w:val="005E4BEA"/>
    <w:rsid w:val="005F1BB0"/>
    <w:rsid w:val="005F1ED9"/>
    <w:rsid w:val="005F58DB"/>
    <w:rsid w:val="005F64DA"/>
    <w:rsid w:val="00604B51"/>
    <w:rsid w:val="006122B0"/>
    <w:rsid w:val="00612D15"/>
    <w:rsid w:val="00612F4C"/>
    <w:rsid w:val="0061662B"/>
    <w:rsid w:val="00617458"/>
    <w:rsid w:val="006217DB"/>
    <w:rsid w:val="00622876"/>
    <w:rsid w:val="00622979"/>
    <w:rsid w:val="006271CD"/>
    <w:rsid w:val="00630F04"/>
    <w:rsid w:val="0063303B"/>
    <w:rsid w:val="00641625"/>
    <w:rsid w:val="00641A29"/>
    <w:rsid w:val="006425AA"/>
    <w:rsid w:val="00642EDF"/>
    <w:rsid w:val="006441BB"/>
    <w:rsid w:val="0064455D"/>
    <w:rsid w:val="00645676"/>
    <w:rsid w:val="006514A6"/>
    <w:rsid w:val="00664862"/>
    <w:rsid w:val="00667C86"/>
    <w:rsid w:val="006704D2"/>
    <w:rsid w:val="00677949"/>
    <w:rsid w:val="00680242"/>
    <w:rsid w:val="0068198A"/>
    <w:rsid w:val="006831CC"/>
    <w:rsid w:val="00683894"/>
    <w:rsid w:val="00686F64"/>
    <w:rsid w:val="00687A24"/>
    <w:rsid w:val="00690C77"/>
    <w:rsid w:val="00691736"/>
    <w:rsid w:val="00691B11"/>
    <w:rsid w:val="00691DF3"/>
    <w:rsid w:val="006930E2"/>
    <w:rsid w:val="006A2476"/>
    <w:rsid w:val="006A4F09"/>
    <w:rsid w:val="006A5102"/>
    <w:rsid w:val="006A7C93"/>
    <w:rsid w:val="006B1037"/>
    <w:rsid w:val="006B1202"/>
    <w:rsid w:val="006B2E35"/>
    <w:rsid w:val="006B4EEB"/>
    <w:rsid w:val="006B5725"/>
    <w:rsid w:val="006C50B3"/>
    <w:rsid w:val="006C77B2"/>
    <w:rsid w:val="006D0902"/>
    <w:rsid w:val="006D25ED"/>
    <w:rsid w:val="006D35A4"/>
    <w:rsid w:val="006D3ECD"/>
    <w:rsid w:val="006D6AE5"/>
    <w:rsid w:val="006E1B1B"/>
    <w:rsid w:val="006E21D4"/>
    <w:rsid w:val="006E2B84"/>
    <w:rsid w:val="006F1157"/>
    <w:rsid w:val="0070379B"/>
    <w:rsid w:val="00717F98"/>
    <w:rsid w:val="00721FB3"/>
    <w:rsid w:val="00726D8F"/>
    <w:rsid w:val="00740E80"/>
    <w:rsid w:val="007466F8"/>
    <w:rsid w:val="007524BB"/>
    <w:rsid w:val="00752C0E"/>
    <w:rsid w:val="00753BDA"/>
    <w:rsid w:val="0076053B"/>
    <w:rsid w:val="00766BC3"/>
    <w:rsid w:val="00770A69"/>
    <w:rsid w:val="00772B62"/>
    <w:rsid w:val="007751CD"/>
    <w:rsid w:val="00777FC5"/>
    <w:rsid w:val="0078120F"/>
    <w:rsid w:val="00783A5E"/>
    <w:rsid w:val="00784C00"/>
    <w:rsid w:val="007907EC"/>
    <w:rsid w:val="007911B3"/>
    <w:rsid w:val="0079385E"/>
    <w:rsid w:val="00793E3A"/>
    <w:rsid w:val="00794304"/>
    <w:rsid w:val="00794E57"/>
    <w:rsid w:val="00795207"/>
    <w:rsid w:val="007973AF"/>
    <w:rsid w:val="0079787C"/>
    <w:rsid w:val="00797B14"/>
    <w:rsid w:val="007A24C2"/>
    <w:rsid w:val="007B446D"/>
    <w:rsid w:val="007B4CA0"/>
    <w:rsid w:val="007C2167"/>
    <w:rsid w:val="007D04A2"/>
    <w:rsid w:val="007E0742"/>
    <w:rsid w:val="007E10D1"/>
    <w:rsid w:val="007F0BED"/>
    <w:rsid w:val="007F32EB"/>
    <w:rsid w:val="007F3800"/>
    <w:rsid w:val="007F4A3A"/>
    <w:rsid w:val="007F5514"/>
    <w:rsid w:val="007F5F5B"/>
    <w:rsid w:val="007F6BBF"/>
    <w:rsid w:val="007F78C6"/>
    <w:rsid w:val="00804993"/>
    <w:rsid w:val="00806805"/>
    <w:rsid w:val="00807638"/>
    <w:rsid w:val="0081744D"/>
    <w:rsid w:val="00820586"/>
    <w:rsid w:val="0082202E"/>
    <w:rsid w:val="008227F2"/>
    <w:rsid w:val="0082380A"/>
    <w:rsid w:val="008272A2"/>
    <w:rsid w:val="00832A38"/>
    <w:rsid w:val="008351F0"/>
    <w:rsid w:val="00835A47"/>
    <w:rsid w:val="00836532"/>
    <w:rsid w:val="008415A3"/>
    <w:rsid w:val="008444D0"/>
    <w:rsid w:val="00854608"/>
    <w:rsid w:val="008555B9"/>
    <w:rsid w:val="00861B39"/>
    <w:rsid w:val="0086359F"/>
    <w:rsid w:val="00866ADD"/>
    <w:rsid w:val="00870CCB"/>
    <w:rsid w:val="008717D2"/>
    <w:rsid w:val="00874A43"/>
    <w:rsid w:val="00876B37"/>
    <w:rsid w:val="00877387"/>
    <w:rsid w:val="0088006A"/>
    <w:rsid w:val="00884F23"/>
    <w:rsid w:val="008902EE"/>
    <w:rsid w:val="0089084C"/>
    <w:rsid w:val="00892012"/>
    <w:rsid w:val="00894446"/>
    <w:rsid w:val="008B0891"/>
    <w:rsid w:val="008B192B"/>
    <w:rsid w:val="008B56A5"/>
    <w:rsid w:val="008B607A"/>
    <w:rsid w:val="008B77B8"/>
    <w:rsid w:val="008C2325"/>
    <w:rsid w:val="008C2CE0"/>
    <w:rsid w:val="008C3B51"/>
    <w:rsid w:val="008C4A92"/>
    <w:rsid w:val="008D332C"/>
    <w:rsid w:val="008D627C"/>
    <w:rsid w:val="008E0D32"/>
    <w:rsid w:val="008E2450"/>
    <w:rsid w:val="008E4770"/>
    <w:rsid w:val="008F0592"/>
    <w:rsid w:val="008F1BD6"/>
    <w:rsid w:val="008F2E12"/>
    <w:rsid w:val="008F60F9"/>
    <w:rsid w:val="008F66F8"/>
    <w:rsid w:val="008F7305"/>
    <w:rsid w:val="00902DE5"/>
    <w:rsid w:val="009071A6"/>
    <w:rsid w:val="00910C89"/>
    <w:rsid w:val="00911724"/>
    <w:rsid w:val="00913568"/>
    <w:rsid w:val="00914BCD"/>
    <w:rsid w:val="00916733"/>
    <w:rsid w:val="00924622"/>
    <w:rsid w:val="00924712"/>
    <w:rsid w:val="009306B7"/>
    <w:rsid w:val="0093083F"/>
    <w:rsid w:val="00933A51"/>
    <w:rsid w:val="009377B7"/>
    <w:rsid w:val="009379C0"/>
    <w:rsid w:val="0094120D"/>
    <w:rsid w:val="0094674C"/>
    <w:rsid w:val="00952C0E"/>
    <w:rsid w:val="0095692D"/>
    <w:rsid w:val="00956B23"/>
    <w:rsid w:val="009572D6"/>
    <w:rsid w:val="009619A5"/>
    <w:rsid w:val="00962ECA"/>
    <w:rsid w:val="0096442C"/>
    <w:rsid w:val="009661A0"/>
    <w:rsid w:val="0097420F"/>
    <w:rsid w:val="00976B9F"/>
    <w:rsid w:val="009828DE"/>
    <w:rsid w:val="0098297A"/>
    <w:rsid w:val="00983300"/>
    <w:rsid w:val="00983946"/>
    <w:rsid w:val="009843FB"/>
    <w:rsid w:val="009873BA"/>
    <w:rsid w:val="009930DD"/>
    <w:rsid w:val="009A13E0"/>
    <w:rsid w:val="009A29C0"/>
    <w:rsid w:val="009A3FD2"/>
    <w:rsid w:val="009A4B91"/>
    <w:rsid w:val="009B4A31"/>
    <w:rsid w:val="009B5C47"/>
    <w:rsid w:val="009C125B"/>
    <w:rsid w:val="009C2464"/>
    <w:rsid w:val="009C39A9"/>
    <w:rsid w:val="009C4E36"/>
    <w:rsid w:val="009C742D"/>
    <w:rsid w:val="009D1639"/>
    <w:rsid w:val="009D19F2"/>
    <w:rsid w:val="009D36FC"/>
    <w:rsid w:val="009D3EA3"/>
    <w:rsid w:val="009D447F"/>
    <w:rsid w:val="009E5417"/>
    <w:rsid w:val="009F0FED"/>
    <w:rsid w:val="009F356A"/>
    <w:rsid w:val="009F7C68"/>
    <w:rsid w:val="00A00FAF"/>
    <w:rsid w:val="00A0174F"/>
    <w:rsid w:val="00A129A1"/>
    <w:rsid w:val="00A13ACD"/>
    <w:rsid w:val="00A141A7"/>
    <w:rsid w:val="00A143A2"/>
    <w:rsid w:val="00A15767"/>
    <w:rsid w:val="00A16E51"/>
    <w:rsid w:val="00A25979"/>
    <w:rsid w:val="00A35BB2"/>
    <w:rsid w:val="00A4024B"/>
    <w:rsid w:val="00A50005"/>
    <w:rsid w:val="00A500AF"/>
    <w:rsid w:val="00A51A21"/>
    <w:rsid w:val="00A52BA1"/>
    <w:rsid w:val="00A54977"/>
    <w:rsid w:val="00A551C1"/>
    <w:rsid w:val="00A55A64"/>
    <w:rsid w:val="00A57210"/>
    <w:rsid w:val="00A60658"/>
    <w:rsid w:val="00A635B1"/>
    <w:rsid w:val="00A67724"/>
    <w:rsid w:val="00A70DC5"/>
    <w:rsid w:val="00A735A5"/>
    <w:rsid w:val="00A80837"/>
    <w:rsid w:val="00A81322"/>
    <w:rsid w:val="00A863D8"/>
    <w:rsid w:val="00A87E10"/>
    <w:rsid w:val="00A9757A"/>
    <w:rsid w:val="00AA192B"/>
    <w:rsid w:val="00AA1A28"/>
    <w:rsid w:val="00AA2207"/>
    <w:rsid w:val="00AB220C"/>
    <w:rsid w:val="00AC02B6"/>
    <w:rsid w:val="00AC089C"/>
    <w:rsid w:val="00AC511F"/>
    <w:rsid w:val="00AC5AED"/>
    <w:rsid w:val="00AC7CD3"/>
    <w:rsid w:val="00AD1AC3"/>
    <w:rsid w:val="00AD416F"/>
    <w:rsid w:val="00AD484F"/>
    <w:rsid w:val="00AD4B08"/>
    <w:rsid w:val="00AE03A9"/>
    <w:rsid w:val="00AE21AC"/>
    <w:rsid w:val="00AE2F9E"/>
    <w:rsid w:val="00AE3753"/>
    <w:rsid w:val="00AE44C5"/>
    <w:rsid w:val="00AE5575"/>
    <w:rsid w:val="00AE6B36"/>
    <w:rsid w:val="00AF3FF0"/>
    <w:rsid w:val="00B05CD2"/>
    <w:rsid w:val="00B06453"/>
    <w:rsid w:val="00B1370F"/>
    <w:rsid w:val="00B13DE0"/>
    <w:rsid w:val="00B140B2"/>
    <w:rsid w:val="00B15293"/>
    <w:rsid w:val="00B201A1"/>
    <w:rsid w:val="00B21672"/>
    <w:rsid w:val="00B23ACA"/>
    <w:rsid w:val="00B24EAF"/>
    <w:rsid w:val="00B27E67"/>
    <w:rsid w:val="00B33829"/>
    <w:rsid w:val="00B343E6"/>
    <w:rsid w:val="00B34E07"/>
    <w:rsid w:val="00B36C3B"/>
    <w:rsid w:val="00B378D9"/>
    <w:rsid w:val="00B4273E"/>
    <w:rsid w:val="00B47493"/>
    <w:rsid w:val="00B5018F"/>
    <w:rsid w:val="00B5060C"/>
    <w:rsid w:val="00B52784"/>
    <w:rsid w:val="00B5416F"/>
    <w:rsid w:val="00B612A4"/>
    <w:rsid w:val="00B63807"/>
    <w:rsid w:val="00B738D9"/>
    <w:rsid w:val="00B74C58"/>
    <w:rsid w:val="00B768A0"/>
    <w:rsid w:val="00B76977"/>
    <w:rsid w:val="00B82F39"/>
    <w:rsid w:val="00B8550B"/>
    <w:rsid w:val="00B9072E"/>
    <w:rsid w:val="00B928C2"/>
    <w:rsid w:val="00B93D5E"/>
    <w:rsid w:val="00B943FC"/>
    <w:rsid w:val="00BA34EA"/>
    <w:rsid w:val="00BA4806"/>
    <w:rsid w:val="00BB3E62"/>
    <w:rsid w:val="00BB748E"/>
    <w:rsid w:val="00BC12C8"/>
    <w:rsid w:val="00BC14E6"/>
    <w:rsid w:val="00BC27D3"/>
    <w:rsid w:val="00BC3130"/>
    <w:rsid w:val="00BD39D0"/>
    <w:rsid w:val="00BD58F7"/>
    <w:rsid w:val="00BE4A38"/>
    <w:rsid w:val="00BE4B62"/>
    <w:rsid w:val="00BE5AD7"/>
    <w:rsid w:val="00BE60EA"/>
    <w:rsid w:val="00BE6604"/>
    <w:rsid w:val="00BE771E"/>
    <w:rsid w:val="00BF1674"/>
    <w:rsid w:val="00BF222A"/>
    <w:rsid w:val="00C00B3D"/>
    <w:rsid w:val="00C05425"/>
    <w:rsid w:val="00C057B2"/>
    <w:rsid w:val="00C14899"/>
    <w:rsid w:val="00C22211"/>
    <w:rsid w:val="00C26BD9"/>
    <w:rsid w:val="00C30A2A"/>
    <w:rsid w:val="00C31301"/>
    <w:rsid w:val="00C32821"/>
    <w:rsid w:val="00C337D1"/>
    <w:rsid w:val="00C36FCE"/>
    <w:rsid w:val="00C37336"/>
    <w:rsid w:val="00C41886"/>
    <w:rsid w:val="00C42DFE"/>
    <w:rsid w:val="00C45039"/>
    <w:rsid w:val="00C50EFF"/>
    <w:rsid w:val="00C516ED"/>
    <w:rsid w:val="00C55D63"/>
    <w:rsid w:val="00C5602C"/>
    <w:rsid w:val="00C56477"/>
    <w:rsid w:val="00C5690D"/>
    <w:rsid w:val="00C62D06"/>
    <w:rsid w:val="00C64FA2"/>
    <w:rsid w:val="00C65159"/>
    <w:rsid w:val="00C66B06"/>
    <w:rsid w:val="00C733DA"/>
    <w:rsid w:val="00C73BE9"/>
    <w:rsid w:val="00C76A44"/>
    <w:rsid w:val="00C87280"/>
    <w:rsid w:val="00C92B1A"/>
    <w:rsid w:val="00CA1055"/>
    <w:rsid w:val="00CA303B"/>
    <w:rsid w:val="00CA4AA4"/>
    <w:rsid w:val="00CB0CFA"/>
    <w:rsid w:val="00CB2320"/>
    <w:rsid w:val="00CB4467"/>
    <w:rsid w:val="00CB6EF2"/>
    <w:rsid w:val="00CB78B9"/>
    <w:rsid w:val="00CB79DC"/>
    <w:rsid w:val="00CC79D3"/>
    <w:rsid w:val="00CC7E88"/>
    <w:rsid w:val="00CD1E79"/>
    <w:rsid w:val="00CD73F6"/>
    <w:rsid w:val="00CE56F7"/>
    <w:rsid w:val="00CE63ED"/>
    <w:rsid w:val="00CE7966"/>
    <w:rsid w:val="00CF42AA"/>
    <w:rsid w:val="00CF63E1"/>
    <w:rsid w:val="00CF693D"/>
    <w:rsid w:val="00D01551"/>
    <w:rsid w:val="00D11A0A"/>
    <w:rsid w:val="00D135E2"/>
    <w:rsid w:val="00D14588"/>
    <w:rsid w:val="00D1619D"/>
    <w:rsid w:val="00D17541"/>
    <w:rsid w:val="00D22AF5"/>
    <w:rsid w:val="00D23811"/>
    <w:rsid w:val="00D25094"/>
    <w:rsid w:val="00D25C81"/>
    <w:rsid w:val="00D317B5"/>
    <w:rsid w:val="00D438E1"/>
    <w:rsid w:val="00D457D1"/>
    <w:rsid w:val="00D47D9C"/>
    <w:rsid w:val="00D52552"/>
    <w:rsid w:val="00D53173"/>
    <w:rsid w:val="00D55A85"/>
    <w:rsid w:val="00D6332C"/>
    <w:rsid w:val="00D641D8"/>
    <w:rsid w:val="00D667A7"/>
    <w:rsid w:val="00D70E10"/>
    <w:rsid w:val="00D71317"/>
    <w:rsid w:val="00D72AA7"/>
    <w:rsid w:val="00D87C11"/>
    <w:rsid w:val="00D92C71"/>
    <w:rsid w:val="00D95F1E"/>
    <w:rsid w:val="00DA09BC"/>
    <w:rsid w:val="00DB02CE"/>
    <w:rsid w:val="00DB48AE"/>
    <w:rsid w:val="00DC0167"/>
    <w:rsid w:val="00DC06D3"/>
    <w:rsid w:val="00DC2B84"/>
    <w:rsid w:val="00DC2C11"/>
    <w:rsid w:val="00DC6DC0"/>
    <w:rsid w:val="00DC7D85"/>
    <w:rsid w:val="00DD434E"/>
    <w:rsid w:val="00DD5B98"/>
    <w:rsid w:val="00DE510B"/>
    <w:rsid w:val="00DE631F"/>
    <w:rsid w:val="00DF0DBD"/>
    <w:rsid w:val="00DF1416"/>
    <w:rsid w:val="00DF661C"/>
    <w:rsid w:val="00E0095B"/>
    <w:rsid w:val="00E053B3"/>
    <w:rsid w:val="00E055DE"/>
    <w:rsid w:val="00E06420"/>
    <w:rsid w:val="00E10A5E"/>
    <w:rsid w:val="00E1117E"/>
    <w:rsid w:val="00E129FA"/>
    <w:rsid w:val="00E169C2"/>
    <w:rsid w:val="00E16F17"/>
    <w:rsid w:val="00E228B4"/>
    <w:rsid w:val="00E23D4B"/>
    <w:rsid w:val="00E248A8"/>
    <w:rsid w:val="00E30DB6"/>
    <w:rsid w:val="00E31535"/>
    <w:rsid w:val="00E32B39"/>
    <w:rsid w:val="00E45046"/>
    <w:rsid w:val="00E47677"/>
    <w:rsid w:val="00E50CDF"/>
    <w:rsid w:val="00E52128"/>
    <w:rsid w:val="00E52243"/>
    <w:rsid w:val="00E53179"/>
    <w:rsid w:val="00E5498C"/>
    <w:rsid w:val="00E554C1"/>
    <w:rsid w:val="00E63EDA"/>
    <w:rsid w:val="00E6491A"/>
    <w:rsid w:val="00E76497"/>
    <w:rsid w:val="00E7680D"/>
    <w:rsid w:val="00E76E7A"/>
    <w:rsid w:val="00E77129"/>
    <w:rsid w:val="00E85349"/>
    <w:rsid w:val="00E858D0"/>
    <w:rsid w:val="00E85D78"/>
    <w:rsid w:val="00E86EE6"/>
    <w:rsid w:val="00E90067"/>
    <w:rsid w:val="00E93C05"/>
    <w:rsid w:val="00E943D5"/>
    <w:rsid w:val="00E9569B"/>
    <w:rsid w:val="00E95B47"/>
    <w:rsid w:val="00EA1FA7"/>
    <w:rsid w:val="00EA4211"/>
    <w:rsid w:val="00EB0794"/>
    <w:rsid w:val="00EB6304"/>
    <w:rsid w:val="00EB6C7C"/>
    <w:rsid w:val="00EC47F1"/>
    <w:rsid w:val="00EC4ABF"/>
    <w:rsid w:val="00EC6982"/>
    <w:rsid w:val="00EC782F"/>
    <w:rsid w:val="00ED266C"/>
    <w:rsid w:val="00ED289D"/>
    <w:rsid w:val="00ED53E9"/>
    <w:rsid w:val="00ED62F2"/>
    <w:rsid w:val="00ED7795"/>
    <w:rsid w:val="00EE0F16"/>
    <w:rsid w:val="00EE31D8"/>
    <w:rsid w:val="00EF0BC3"/>
    <w:rsid w:val="00EF4EFA"/>
    <w:rsid w:val="00F01981"/>
    <w:rsid w:val="00F0268E"/>
    <w:rsid w:val="00F03C55"/>
    <w:rsid w:val="00F048BB"/>
    <w:rsid w:val="00F074E7"/>
    <w:rsid w:val="00F07B82"/>
    <w:rsid w:val="00F2068C"/>
    <w:rsid w:val="00F24BB0"/>
    <w:rsid w:val="00F25A66"/>
    <w:rsid w:val="00F2746E"/>
    <w:rsid w:val="00F31120"/>
    <w:rsid w:val="00F33C5B"/>
    <w:rsid w:val="00F342CF"/>
    <w:rsid w:val="00F358DF"/>
    <w:rsid w:val="00F36D53"/>
    <w:rsid w:val="00F40BD2"/>
    <w:rsid w:val="00F44B49"/>
    <w:rsid w:val="00F45A0E"/>
    <w:rsid w:val="00F45EEB"/>
    <w:rsid w:val="00F50053"/>
    <w:rsid w:val="00F57703"/>
    <w:rsid w:val="00F57973"/>
    <w:rsid w:val="00F60FEE"/>
    <w:rsid w:val="00F61CD2"/>
    <w:rsid w:val="00F64DEA"/>
    <w:rsid w:val="00F7383C"/>
    <w:rsid w:val="00F7445A"/>
    <w:rsid w:val="00F84D4E"/>
    <w:rsid w:val="00F8720F"/>
    <w:rsid w:val="00F877C9"/>
    <w:rsid w:val="00F91768"/>
    <w:rsid w:val="00F94543"/>
    <w:rsid w:val="00F95C0C"/>
    <w:rsid w:val="00F95E90"/>
    <w:rsid w:val="00F963B7"/>
    <w:rsid w:val="00F97870"/>
    <w:rsid w:val="00FA0BA1"/>
    <w:rsid w:val="00FA23CC"/>
    <w:rsid w:val="00FA6D78"/>
    <w:rsid w:val="00FA7780"/>
    <w:rsid w:val="00FB0479"/>
    <w:rsid w:val="00FB31E2"/>
    <w:rsid w:val="00FB323C"/>
    <w:rsid w:val="00FB352D"/>
    <w:rsid w:val="00FB451F"/>
    <w:rsid w:val="00FB6FB9"/>
    <w:rsid w:val="00FC0F65"/>
    <w:rsid w:val="00FC2AE9"/>
    <w:rsid w:val="00FC2BD3"/>
    <w:rsid w:val="00FC38C4"/>
    <w:rsid w:val="00FD1F2E"/>
    <w:rsid w:val="00FD6B65"/>
    <w:rsid w:val="00FE1879"/>
    <w:rsid w:val="00FE4E33"/>
    <w:rsid w:val="00FF08DD"/>
    <w:rsid w:val="00FF290A"/>
    <w:rsid w:val="00FF46BE"/>
    <w:rsid w:val="00FF4B04"/>
    <w:rsid w:val="00FF6083"/>
    <w:rsid w:val="00FF65A9"/>
    <w:rsid w:val="00FF6614"/>
    <w:rsid w:val="04E10832"/>
    <w:rsid w:val="082771AB"/>
    <w:rsid w:val="086D52B5"/>
    <w:rsid w:val="0A717CA3"/>
    <w:rsid w:val="0C396BCF"/>
    <w:rsid w:val="0D2E608B"/>
    <w:rsid w:val="1071372A"/>
    <w:rsid w:val="10AD7D9B"/>
    <w:rsid w:val="17F25776"/>
    <w:rsid w:val="18E932E8"/>
    <w:rsid w:val="18FC7D9D"/>
    <w:rsid w:val="1A455B93"/>
    <w:rsid w:val="1C026332"/>
    <w:rsid w:val="21BE0BA6"/>
    <w:rsid w:val="26164C47"/>
    <w:rsid w:val="2816186A"/>
    <w:rsid w:val="281A1B82"/>
    <w:rsid w:val="2AD261A1"/>
    <w:rsid w:val="2FEB1117"/>
    <w:rsid w:val="332E74DD"/>
    <w:rsid w:val="36CD76C8"/>
    <w:rsid w:val="384D672F"/>
    <w:rsid w:val="3A915A51"/>
    <w:rsid w:val="3C5C64C2"/>
    <w:rsid w:val="3DA1060F"/>
    <w:rsid w:val="40085AC1"/>
    <w:rsid w:val="40DF73D5"/>
    <w:rsid w:val="41310CE3"/>
    <w:rsid w:val="41390DD5"/>
    <w:rsid w:val="41FF6891"/>
    <w:rsid w:val="42DC0DDB"/>
    <w:rsid w:val="471F573B"/>
    <w:rsid w:val="47615886"/>
    <w:rsid w:val="4D81537C"/>
    <w:rsid w:val="4DD63A3B"/>
    <w:rsid w:val="51526E7A"/>
    <w:rsid w:val="54DA600D"/>
    <w:rsid w:val="56080C6D"/>
    <w:rsid w:val="57D1629D"/>
    <w:rsid w:val="591D1A1E"/>
    <w:rsid w:val="5AB50E55"/>
    <w:rsid w:val="5CDB5C20"/>
    <w:rsid w:val="5CF86714"/>
    <w:rsid w:val="60255C7C"/>
    <w:rsid w:val="621959C6"/>
    <w:rsid w:val="64B03E04"/>
    <w:rsid w:val="658F5873"/>
    <w:rsid w:val="68CC58FB"/>
    <w:rsid w:val="6D5D13D0"/>
    <w:rsid w:val="70145BC8"/>
    <w:rsid w:val="70473D24"/>
    <w:rsid w:val="71664C36"/>
    <w:rsid w:val="73181555"/>
    <w:rsid w:val="75D7705D"/>
    <w:rsid w:val="785F783E"/>
    <w:rsid w:val="7C194782"/>
    <w:rsid w:val="7C8D4639"/>
    <w:rsid w:val="7F277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qFormat="1" w:unhideWhenUsed="0" w:uiPriority="0" w:semiHidden="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40"/>
    <w:qFormat/>
    <w:uiPriority w:val="0"/>
    <w:pPr>
      <w:keepNext/>
      <w:keepLines/>
      <w:spacing w:before="340" w:after="330" w:line="578" w:lineRule="auto"/>
      <w:outlineLvl w:val="0"/>
    </w:pPr>
    <w:rPr>
      <w:b/>
      <w:bCs/>
      <w:kern w:val="44"/>
      <w:sz w:val="44"/>
      <w:szCs w:val="44"/>
    </w:rPr>
  </w:style>
  <w:style w:type="paragraph" w:styleId="4">
    <w:name w:val="heading 2"/>
    <w:basedOn w:val="1"/>
    <w:next w:val="1"/>
    <w:qFormat/>
    <w:uiPriority w:val="0"/>
    <w:pPr>
      <w:keepNext/>
      <w:outlineLvl w:val="1"/>
    </w:pPr>
    <w:rPr>
      <w:rFonts w:ascii="宋体" w:hAnsi="宋体"/>
      <w:b/>
      <w:bCs/>
      <w:sz w:val="28"/>
    </w:rPr>
  </w:style>
  <w:style w:type="paragraph" w:styleId="5">
    <w:name w:val="heading 3"/>
    <w:basedOn w:val="1"/>
    <w:next w:val="1"/>
    <w:qFormat/>
    <w:uiPriority w:val="0"/>
    <w:pPr>
      <w:keepNext/>
      <w:keepLines/>
      <w:spacing w:before="260" w:after="260" w:line="416" w:lineRule="auto"/>
      <w:outlineLvl w:val="2"/>
    </w:pPr>
    <w:rPr>
      <w:b/>
      <w:bCs/>
      <w:sz w:val="32"/>
      <w:szCs w:val="32"/>
    </w:rPr>
  </w:style>
  <w:style w:type="paragraph" w:styleId="6">
    <w:name w:val="heading 4"/>
    <w:basedOn w:val="1"/>
    <w:next w:val="1"/>
    <w:qFormat/>
    <w:uiPriority w:val="0"/>
    <w:pPr>
      <w:tabs>
        <w:tab w:val="left" w:pos="567"/>
        <w:tab w:val="left" w:pos="907"/>
        <w:tab w:val="left" w:pos="1584"/>
      </w:tabs>
      <w:autoSpaceDE w:val="0"/>
      <w:adjustRightInd w:val="0"/>
      <w:spacing w:before="60" w:after="60" w:line="240" w:lineRule="atLeast"/>
      <w:ind w:left="1584" w:hanging="864"/>
      <w:jc w:val="left"/>
      <w:textAlignment w:val="baseline"/>
      <w:outlineLvl w:val="3"/>
    </w:pPr>
    <w:rPr>
      <w:rFonts w:ascii="Arial" w:hAnsi="Arial"/>
      <w:kern w:val="0"/>
      <w:sz w:val="24"/>
      <w:szCs w:val="20"/>
    </w:rPr>
  </w:style>
  <w:style w:type="paragraph" w:styleId="7">
    <w:name w:val="heading 5"/>
    <w:basedOn w:val="1"/>
    <w:next w:val="1"/>
    <w:qFormat/>
    <w:uiPriority w:val="0"/>
    <w:pPr>
      <w:tabs>
        <w:tab w:val="left" w:pos="567"/>
        <w:tab w:val="left" w:pos="1008"/>
      </w:tabs>
      <w:adjustRightInd w:val="0"/>
      <w:spacing w:before="60" w:after="60" w:line="360" w:lineRule="auto"/>
      <w:ind w:left="1008" w:hanging="1008"/>
      <w:textAlignment w:val="baseline"/>
      <w:outlineLvl w:val="4"/>
    </w:pPr>
    <w:rPr>
      <w:rFonts w:ascii="Arial" w:hAnsi="Arial"/>
      <w:kern w:val="0"/>
      <w:sz w:val="24"/>
      <w:szCs w:val="20"/>
    </w:rPr>
  </w:style>
  <w:style w:type="paragraph" w:styleId="8">
    <w:name w:val="heading 6"/>
    <w:basedOn w:val="1"/>
    <w:next w:val="1"/>
    <w:qFormat/>
    <w:uiPriority w:val="0"/>
    <w:pPr>
      <w:tabs>
        <w:tab w:val="left" w:pos="567"/>
        <w:tab w:val="left" w:pos="1152"/>
      </w:tabs>
      <w:adjustRightInd w:val="0"/>
      <w:spacing w:before="60" w:after="60" w:line="460" w:lineRule="exact"/>
      <w:ind w:left="1152" w:hanging="1152"/>
      <w:jc w:val="left"/>
      <w:textAlignment w:val="baseline"/>
      <w:outlineLvl w:val="5"/>
    </w:pPr>
    <w:rPr>
      <w:rFonts w:ascii="Arial" w:hAnsi="Arial"/>
      <w:kern w:val="0"/>
      <w:sz w:val="24"/>
      <w:szCs w:val="20"/>
    </w:rPr>
  </w:style>
  <w:style w:type="paragraph" w:styleId="9">
    <w:name w:val="heading 7"/>
    <w:basedOn w:val="1"/>
    <w:next w:val="1"/>
    <w:qFormat/>
    <w:uiPriority w:val="0"/>
    <w:pPr>
      <w:tabs>
        <w:tab w:val="left" w:pos="567"/>
        <w:tab w:val="left" w:pos="1296"/>
      </w:tabs>
      <w:adjustRightInd w:val="0"/>
      <w:spacing w:before="60" w:after="60" w:line="460" w:lineRule="exact"/>
      <w:ind w:left="1296" w:hanging="1296"/>
      <w:jc w:val="left"/>
      <w:textAlignment w:val="baseline"/>
      <w:outlineLvl w:val="6"/>
    </w:pPr>
    <w:rPr>
      <w:rFonts w:ascii="Arial" w:hAnsi="Arial"/>
      <w:kern w:val="0"/>
      <w:sz w:val="24"/>
      <w:szCs w:val="20"/>
    </w:rPr>
  </w:style>
  <w:style w:type="paragraph" w:styleId="10">
    <w:name w:val="heading 8"/>
    <w:basedOn w:val="1"/>
    <w:next w:val="1"/>
    <w:qFormat/>
    <w:uiPriority w:val="0"/>
    <w:pPr>
      <w:tabs>
        <w:tab w:val="left" w:pos="567"/>
        <w:tab w:val="left" w:pos="1440"/>
      </w:tabs>
      <w:adjustRightInd w:val="0"/>
      <w:spacing w:before="60" w:after="60" w:line="460" w:lineRule="exact"/>
      <w:ind w:left="1440" w:hanging="1440"/>
      <w:jc w:val="left"/>
      <w:textAlignment w:val="baseline"/>
      <w:outlineLvl w:val="7"/>
    </w:pPr>
    <w:rPr>
      <w:rFonts w:ascii="Arial" w:hAnsi="Arial"/>
      <w:kern w:val="0"/>
      <w:sz w:val="24"/>
      <w:szCs w:val="20"/>
    </w:rPr>
  </w:style>
  <w:style w:type="paragraph" w:styleId="11">
    <w:name w:val="heading 9"/>
    <w:basedOn w:val="1"/>
    <w:next w:val="1"/>
    <w:qFormat/>
    <w:uiPriority w:val="0"/>
    <w:pPr>
      <w:keepNext/>
      <w:keepLines/>
      <w:tabs>
        <w:tab w:val="left" w:pos="567"/>
        <w:tab w:val="left" w:pos="1584"/>
      </w:tabs>
      <w:adjustRightInd w:val="0"/>
      <w:spacing w:before="240" w:after="64" w:line="320" w:lineRule="atLeast"/>
      <w:ind w:left="1584" w:hanging="1584"/>
      <w:jc w:val="left"/>
      <w:textAlignment w:val="baseline"/>
      <w:outlineLvl w:val="8"/>
    </w:pPr>
    <w:rPr>
      <w:rFonts w:ascii="Arial" w:hAnsi="Arial" w:eastAsia="黑体"/>
      <w:kern w:val="0"/>
      <w:sz w:val="24"/>
      <w:szCs w:val="20"/>
    </w:rPr>
  </w:style>
  <w:style w:type="character" w:default="1" w:styleId="36">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12">
    <w:name w:val="toc 7"/>
    <w:basedOn w:val="1"/>
    <w:next w:val="1"/>
    <w:semiHidden/>
    <w:qFormat/>
    <w:uiPriority w:val="0"/>
    <w:pPr>
      <w:spacing w:line="240" w:lineRule="atLeast"/>
      <w:jc w:val="left"/>
    </w:pPr>
    <w:rPr>
      <w:sz w:val="22"/>
      <w:szCs w:val="22"/>
    </w:rPr>
  </w:style>
  <w:style w:type="paragraph" w:styleId="13">
    <w:name w:val="Normal Indent"/>
    <w:basedOn w:val="1"/>
    <w:qFormat/>
    <w:uiPriority w:val="0"/>
    <w:pPr>
      <w:tabs>
        <w:tab w:val="left" w:pos="567"/>
      </w:tabs>
      <w:spacing w:before="60" w:after="60" w:line="240" w:lineRule="atLeast"/>
      <w:ind w:firstLine="420"/>
    </w:pPr>
    <w:rPr>
      <w:rFonts w:ascii="Arial" w:hAnsi="Arial"/>
      <w:sz w:val="24"/>
      <w:szCs w:val="20"/>
    </w:rPr>
  </w:style>
  <w:style w:type="paragraph" w:styleId="14">
    <w:name w:val="annotation text"/>
    <w:basedOn w:val="1"/>
    <w:semiHidden/>
    <w:qFormat/>
    <w:uiPriority w:val="0"/>
    <w:pPr>
      <w:tabs>
        <w:tab w:val="left" w:pos="567"/>
      </w:tabs>
      <w:adjustRightInd w:val="0"/>
      <w:spacing w:before="60" w:after="60" w:line="360" w:lineRule="atLeast"/>
      <w:ind w:firstLine="454"/>
      <w:jc w:val="left"/>
      <w:textAlignment w:val="baseline"/>
    </w:pPr>
    <w:rPr>
      <w:rFonts w:ascii="Arial" w:hAnsi="Arial"/>
      <w:kern w:val="0"/>
      <w:sz w:val="24"/>
      <w:szCs w:val="20"/>
    </w:rPr>
  </w:style>
  <w:style w:type="paragraph" w:styleId="15">
    <w:name w:val="Body Text Indent"/>
    <w:basedOn w:val="1"/>
    <w:link w:val="46"/>
    <w:qFormat/>
    <w:uiPriority w:val="0"/>
    <w:pPr>
      <w:ind w:firstLine="480" w:firstLineChars="200"/>
    </w:pPr>
    <w:rPr>
      <w:sz w:val="24"/>
    </w:rPr>
  </w:style>
  <w:style w:type="paragraph" w:styleId="16">
    <w:name w:val="toc 5"/>
    <w:basedOn w:val="1"/>
    <w:next w:val="1"/>
    <w:semiHidden/>
    <w:qFormat/>
    <w:uiPriority w:val="0"/>
    <w:pPr>
      <w:spacing w:line="240" w:lineRule="atLeast"/>
      <w:jc w:val="left"/>
    </w:pPr>
    <w:rPr>
      <w:sz w:val="22"/>
      <w:szCs w:val="22"/>
    </w:rPr>
  </w:style>
  <w:style w:type="paragraph" w:styleId="17">
    <w:name w:val="toc 3"/>
    <w:basedOn w:val="1"/>
    <w:next w:val="1"/>
    <w:semiHidden/>
    <w:qFormat/>
    <w:uiPriority w:val="0"/>
    <w:pPr>
      <w:spacing w:line="240" w:lineRule="atLeast"/>
      <w:jc w:val="left"/>
    </w:pPr>
    <w:rPr>
      <w:smallCaps/>
      <w:sz w:val="22"/>
      <w:szCs w:val="22"/>
    </w:rPr>
  </w:style>
  <w:style w:type="paragraph" w:styleId="18">
    <w:name w:val="Plain Text"/>
    <w:basedOn w:val="1"/>
    <w:qFormat/>
    <w:uiPriority w:val="0"/>
    <w:rPr>
      <w:rFonts w:ascii="宋体" w:hAnsi="Courier New" w:cs="Courier New"/>
      <w:szCs w:val="21"/>
    </w:rPr>
  </w:style>
  <w:style w:type="paragraph" w:styleId="19">
    <w:name w:val="toc 8"/>
    <w:basedOn w:val="1"/>
    <w:next w:val="1"/>
    <w:semiHidden/>
    <w:qFormat/>
    <w:uiPriority w:val="0"/>
    <w:pPr>
      <w:spacing w:line="240" w:lineRule="atLeast"/>
      <w:jc w:val="left"/>
    </w:pPr>
    <w:rPr>
      <w:sz w:val="22"/>
      <w:szCs w:val="22"/>
    </w:rPr>
  </w:style>
  <w:style w:type="paragraph" w:styleId="20">
    <w:name w:val="Date"/>
    <w:basedOn w:val="1"/>
    <w:next w:val="1"/>
    <w:qFormat/>
    <w:uiPriority w:val="0"/>
    <w:pPr>
      <w:ind w:left="100" w:leftChars="2500"/>
    </w:pPr>
    <w:rPr>
      <w:rFonts w:ascii="仿宋_GB2312"/>
      <w:sz w:val="28"/>
    </w:rPr>
  </w:style>
  <w:style w:type="paragraph" w:styleId="21">
    <w:name w:val="Body Text Indent 2"/>
    <w:basedOn w:val="1"/>
    <w:link w:val="43"/>
    <w:qFormat/>
    <w:uiPriority w:val="0"/>
    <w:pPr>
      <w:spacing w:after="120" w:line="480" w:lineRule="auto"/>
      <w:ind w:left="420" w:leftChars="200"/>
    </w:pPr>
  </w:style>
  <w:style w:type="paragraph" w:styleId="22">
    <w:name w:val="Balloon Text"/>
    <w:basedOn w:val="1"/>
    <w:semiHidden/>
    <w:qFormat/>
    <w:uiPriority w:val="0"/>
    <w:pPr>
      <w:tabs>
        <w:tab w:val="left" w:pos="567"/>
      </w:tabs>
      <w:spacing w:before="60" w:after="60" w:line="240" w:lineRule="atLeast"/>
      <w:ind w:firstLine="454"/>
    </w:pPr>
    <w:rPr>
      <w:rFonts w:ascii="Arial" w:hAnsi="Arial"/>
      <w:sz w:val="18"/>
      <w:szCs w:val="18"/>
    </w:rPr>
  </w:style>
  <w:style w:type="paragraph" w:styleId="23">
    <w:name w:val="footer"/>
    <w:basedOn w:val="1"/>
    <w:link w:val="45"/>
    <w:qFormat/>
    <w:uiPriority w:val="0"/>
    <w:pPr>
      <w:tabs>
        <w:tab w:val="center" w:pos="4153"/>
        <w:tab w:val="right" w:pos="8306"/>
      </w:tabs>
      <w:snapToGrid w:val="0"/>
      <w:jc w:val="left"/>
    </w:pPr>
    <w:rPr>
      <w:sz w:val="18"/>
      <w:szCs w:val="18"/>
    </w:rPr>
  </w:style>
  <w:style w:type="paragraph" w:styleId="24">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qFormat/>
    <w:uiPriority w:val="39"/>
    <w:pPr>
      <w:spacing w:before="360" w:after="360"/>
      <w:jc w:val="left"/>
    </w:pPr>
    <w:rPr>
      <w:bCs/>
      <w:caps/>
      <w:szCs w:val="22"/>
    </w:rPr>
  </w:style>
  <w:style w:type="paragraph" w:styleId="26">
    <w:name w:val="toc 4"/>
    <w:basedOn w:val="1"/>
    <w:next w:val="1"/>
    <w:semiHidden/>
    <w:qFormat/>
    <w:uiPriority w:val="0"/>
    <w:pPr>
      <w:spacing w:line="240" w:lineRule="atLeast"/>
      <w:jc w:val="left"/>
    </w:pPr>
    <w:rPr>
      <w:sz w:val="22"/>
      <w:szCs w:val="22"/>
    </w:rPr>
  </w:style>
  <w:style w:type="paragraph" w:styleId="27">
    <w:name w:val="toc 6"/>
    <w:basedOn w:val="1"/>
    <w:next w:val="1"/>
    <w:semiHidden/>
    <w:qFormat/>
    <w:uiPriority w:val="0"/>
    <w:pPr>
      <w:spacing w:line="240" w:lineRule="atLeast"/>
      <w:jc w:val="left"/>
    </w:pPr>
    <w:rPr>
      <w:sz w:val="22"/>
      <w:szCs w:val="22"/>
    </w:rPr>
  </w:style>
  <w:style w:type="paragraph" w:styleId="28">
    <w:name w:val="Body Text Indent 3"/>
    <w:basedOn w:val="1"/>
    <w:qFormat/>
    <w:uiPriority w:val="0"/>
    <w:pPr>
      <w:spacing w:after="120"/>
      <w:ind w:left="420" w:leftChars="200"/>
    </w:pPr>
    <w:rPr>
      <w:sz w:val="16"/>
      <w:szCs w:val="16"/>
    </w:rPr>
  </w:style>
  <w:style w:type="paragraph" w:styleId="29">
    <w:name w:val="toc 2"/>
    <w:basedOn w:val="1"/>
    <w:next w:val="1"/>
    <w:qFormat/>
    <w:uiPriority w:val="39"/>
    <w:pPr>
      <w:spacing w:line="240" w:lineRule="atLeast"/>
      <w:jc w:val="left"/>
    </w:pPr>
    <w:rPr>
      <w:b/>
      <w:bCs/>
      <w:smallCaps/>
      <w:sz w:val="22"/>
      <w:szCs w:val="22"/>
    </w:rPr>
  </w:style>
  <w:style w:type="paragraph" w:styleId="30">
    <w:name w:val="toc 9"/>
    <w:basedOn w:val="1"/>
    <w:next w:val="1"/>
    <w:semiHidden/>
    <w:qFormat/>
    <w:uiPriority w:val="0"/>
    <w:pPr>
      <w:spacing w:line="240" w:lineRule="atLeast"/>
      <w:jc w:val="left"/>
    </w:pPr>
    <w:rPr>
      <w:sz w:val="22"/>
      <w:szCs w:val="22"/>
    </w:rPr>
  </w:style>
  <w:style w:type="paragraph" w:styleId="31">
    <w:name w:val="Body Text 2"/>
    <w:basedOn w:val="1"/>
    <w:qFormat/>
    <w:uiPriority w:val="0"/>
    <w:pPr>
      <w:adjustRightInd w:val="0"/>
      <w:spacing w:after="120" w:line="480" w:lineRule="auto"/>
      <w:textAlignment w:val="baseline"/>
    </w:pPr>
    <w:rPr>
      <w:kern w:val="0"/>
      <w:szCs w:val="20"/>
    </w:rPr>
  </w:style>
  <w:style w:type="paragraph" w:styleId="32">
    <w:name w:val="Normal (Web)"/>
    <w:basedOn w:val="1"/>
    <w:qFormat/>
    <w:uiPriority w:val="0"/>
    <w:pPr>
      <w:widowControl/>
      <w:spacing w:before="100" w:beforeAutospacing="1" w:after="100" w:afterAutospacing="1"/>
      <w:jc w:val="left"/>
    </w:pPr>
    <w:rPr>
      <w:rFonts w:hint="eastAsia" w:ascii="宋体" w:hAnsi="宋体"/>
      <w:kern w:val="0"/>
      <w:sz w:val="24"/>
    </w:rPr>
  </w:style>
  <w:style w:type="table" w:styleId="34">
    <w:name w:val="Table Grid"/>
    <w:basedOn w:val="3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Table Grid 5"/>
    <w:basedOn w:val="3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37">
    <w:name w:val="page number"/>
    <w:basedOn w:val="36"/>
    <w:qFormat/>
    <w:uiPriority w:val="0"/>
  </w:style>
  <w:style w:type="character" w:styleId="38">
    <w:name w:val="FollowedHyperlink"/>
    <w:qFormat/>
    <w:uiPriority w:val="0"/>
    <w:rPr>
      <w:color w:val="800080"/>
      <w:u w:val="single"/>
    </w:rPr>
  </w:style>
  <w:style w:type="character" w:styleId="39">
    <w:name w:val="Hyperlink"/>
    <w:qFormat/>
    <w:uiPriority w:val="99"/>
    <w:rPr>
      <w:color w:val="0000FF"/>
      <w:u w:val="single"/>
    </w:rPr>
  </w:style>
  <w:style w:type="character" w:customStyle="1" w:styleId="40">
    <w:name w:val="标题 1 字符"/>
    <w:link w:val="3"/>
    <w:qFormat/>
    <w:locked/>
    <w:uiPriority w:val="0"/>
    <w:rPr>
      <w:rFonts w:eastAsia="宋体"/>
      <w:b/>
      <w:bCs/>
      <w:kern w:val="44"/>
      <w:sz w:val="44"/>
      <w:szCs w:val="44"/>
      <w:lang w:val="en-US" w:eastAsia="zh-CN" w:bidi="ar-SA"/>
    </w:rPr>
  </w:style>
  <w:style w:type="character" w:customStyle="1" w:styleId="41">
    <w:name w:val="节标题 1.1 Char1"/>
    <w:qFormat/>
    <w:uiPriority w:val="0"/>
    <w:rPr>
      <w:rFonts w:ascii="Arial" w:hAnsi="Arial" w:eastAsia="宋体"/>
      <w:b/>
      <w:kern w:val="2"/>
      <w:sz w:val="28"/>
      <w:lang w:val="en-US" w:eastAsia="zh-CN" w:bidi="ar-SA"/>
    </w:rPr>
  </w:style>
  <w:style w:type="character" w:customStyle="1" w:styleId="42">
    <w:name w:val="标题 1 Char Char Char"/>
    <w:qFormat/>
    <w:uiPriority w:val="0"/>
    <w:rPr>
      <w:rFonts w:ascii="Arial" w:hAnsi="Arial" w:eastAsia="宋体"/>
      <w:b/>
      <w:kern w:val="2"/>
      <w:sz w:val="32"/>
      <w:szCs w:val="32"/>
      <w:lang w:val="en-US" w:eastAsia="zh-CN" w:bidi="ar-SA"/>
    </w:rPr>
  </w:style>
  <w:style w:type="character" w:customStyle="1" w:styleId="43">
    <w:name w:val="正文文本缩进 2 字符"/>
    <w:link w:val="21"/>
    <w:qFormat/>
    <w:locked/>
    <w:uiPriority w:val="0"/>
    <w:rPr>
      <w:rFonts w:eastAsia="宋体"/>
      <w:kern w:val="2"/>
      <w:sz w:val="21"/>
      <w:szCs w:val="24"/>
      <w:lang w:val="en-US" w:eastAsia="zh-CN" w:bidi="ar-SA"/>
    </w:rPr>
  </w:style>
  <w:style w:type="character" w:customStyle="1" w:styleId="44">
    <w:name w:val="页眉 字符"/>
    <w:link w:val="24"/>
    <w:qFormat/>
    <w:uiPriority w:val="0"/>
    <w:rPr>
      <w:kern w:val="2"/>
      <w:sz w:val="18"/>
      <w:szCs w:val="18"/>
    </w:rPr>
  </w:style>
  <w:style w:type="character" w:customStyle="1" w:styleId="45">
    <w:name w:val="页脚 字符"/>
    <w:link w:val="23"/>
    <w:semiHidden/>
    <w:qFormat/>
    <w:locked/>
    <w:uiPriority w:val="0"/>
    <w:rPr>
      <w:rFonts w:eastAsia="宋体"/>
      <w:kern w:val="2"/>
      <w:sz w:val="18"/>
      <w:szCs w:val="18"/>
      <w:lang w:val="en-US" w:eastAsia="zh-CN" w:bidi="ar-SA"/>
    </w:rPr>
  </w:style>
  <w:style w:type="character" w:customStyle="1" w:styleId="46">
    <w:name w:val="正文文本缩进 字符"/>
    <w:link w:val="15"/>
    <w:qFormat/>
    <w:locked/>
    <w:uiPriority w:val="0"/>
    <w:rPr>
      <w:rFonts w:eastAsia="宋体"/>
      <w:kern w:val="2"/>
      <w:sz w:val="24"/>
      <w:szCs w:val="24"/>
      <w:lang w:val="en-US" w:eastAsia="zh-CN" w:bidi="ar-SA"/>
    </w:rPr>
  </w:style>
  <w:style w:type="paragraph" w:customStyle="1" w:styleId="47">
    <w:name w:val="样式2"/>
    <w:basedOn w:val="1"/>
    <w:qFormat/>
    <w:uiPriority w:val="0"/>
    <w:pPr>
      <w:adjustRightInd w:val="0"/>
      <w:spacing w:line="410" w:lineRule="atLeast"/>
      <w:jc w:val="left"/>
      <w:textAlignment w:val="baseline"/>
    </w:pPr>
    <w:rPr>
      <w:kern w:val="0"/>
      <w:sz w:val="24"/>
      <w:szCs w:val="20"/>
    </w:rPr>
  </w:style>
  <w:style w:type="paragraph" w:customStyle="1" w:styleId="48">
    <w:name w:val="日期1"/>
    <w:basedOn w:val="1"/>
    <w:next w:val="1"/>
    <w:qFormat/>
    <w:uiPriority w:val="0"/>
    <w:pPr>
      <w:adjustRightInd w:val="0"/>
    </w:pPr>
    <w:rPr>
      <w:rFonts w:hint="eastAsia" w:ascii="宋体"/>
      <w:kern w:val="0"/>
      <w:sz w:val="28"/>
      <w:szCs w:val="20"/>
    </w:rPr>
  </w:style>
  <w:style w:type="paragraph" w:customStyle="1" w:styleId="49">
    <w:name w:val="标题4"/>
    <w:basedOn w:val="6"/>
    <w:qFormat/>
    <w:uiPriority w:val="0"/>
    <w:pPr>
      <w:keepNext/>
      <w:tabs>
        <w:tab w:val="left" w:pos="2240"/>
        <w:tab w:val="clear" w:pos="567"/>
        <w:tab w:val="clear" w:pos="907"/>
        <w:tab w:val="clear" w:pos="1584"/>
      </w:tabs>
      <w:autoSpaceDE/>
      <w:spacing w:before="0" w:after="0" w:line="360" w:lineRule="auto"/>
      <w:ind w:left="2240" w:hanging="420"/>
      <w:jc w:val="both"/>
    </w:pPr>
  </w:style>
  <w:style w:type="paragraph" w:customStyle="1" w:styleId="50">
    <w:name w:val="样式1"/>
    <w:basedOn w:val="1"/>
    <w:qFormat/>
    <w:uiPriority w:val="0"/>
    <w:pPr>
      <w:adjustRightInd w:val="0"/>
      <w:spacing w:before="240" w:after="240"/>
      <w:jc w:val="center"/>
      <w:textAlignment w:val="bottom"/>
    </w:pPr>
    <w:rPr>
      <w:rFonts w:ascii="Arial" w:hAnsi="Arial" w:eastAsia="黑体"/>
      <w:b/>
      <w:spacing w:val="120"/>
      <w:kern w:val="0"/>
      <w:sz w:val="30"/>
      <w:szCs w:val="20"/>
    </w:rPr>
  </w:style>
  <w:style w:type="paragraph" w:customStyle="1" w:styleId="51">
    <w:name w:val="表格"/>
    <w:basedOn w:val="1"/>
    <w:qFormat/>
    <w:uiPriority w:val="0"/>
    <w:pPr>
      <w:tabs>
        <w:tab w:val="left" w:pos="737"/>
      </w:tabs>
      <w:adjustRightInd w:val="0"/>
      <w:spacing w:before="60" w:after="60"/>
      <w:jc w:val="center"/>
      <w:textAlignment w:val="bottom"/>
    </w:pPr>
    <w:rPr>
      <w:snapToGrid w:val="0"/>
      <w:kern w:val="0"/>
      <w:szCs w:val="21"/>
    </w:rPr>
  </w:style>
  <w:style w:type="paragraph" w:customStyle="1" w:styleId="52">
    <w:name w:val="标题1"/>
    <w:basedOn w:val="3"/>
    <w:qFormat/>
    <w:uiPriority w:val="0"/>
    <w:pPr>
      <w:tabs>
        <w:tab w:val="left" w:pos="920"/>
      </w:tabs>
      <w:adjustRightInd w:val="0"/>
      <w:spacing w:before="120" w:after="0" w:line="360" w:lineRule="auto"/>
      <w:ind w:left="920" w:hanging="360"/>
      <w:jc w:val="center"/>
      <w:textAlignment w:val="baseline"/>
    </w:pPr>
    <w:rPr>
      <w:b w:val="0"/>
      <w:bCs w:val="0"/>
      <w:sz w:val="28"/>
      <w:szCs w:val="32"/>
    </w:rPr>
  </w:style>
  <w:style w:type="paragraph" w:customStyle="1" w:styleId="53">
    <w:name w:val="标题2"/>
    <w:basedOn w:val="4"/>
    <w:qFormat/>
    <w:uiPriority w:val="0"/>
    <w:pPr>
      <w:keepLines/>
      <w:tabs>
        <w:tab w:val="left" w:pos="567"/>
        <w:tab w:val="left" w:pos="1400"/>
      </w:tabs>
      <w:adjustRightInd w:val="0"/>
      <w:spacing w:line="360" w:lineRule="auto"/>
      <w:ind w:left="1400" w:hanging="420"/>
      <w:textAlignment w:val="baseline"/>
    </w:pPr>
    <w:rPr>
      <w:rFonts w:ascii="Times New Roman" w:hAnsi="Times New Roman"/>
      <w:b w:val="0"/>
      <w:bCs w:val="0"/>
      <w:kern w:val="0"/>
      <w:sz w:val="24"/>
      <w:szCs w:val="20"/>
    </w:rPr>
  </w:style>
  <w:style w:type="paragraph" w:customStyle="1" w:styleId="54">
    <w:name w:val="标题3"/>
    <w:basedOn w:val="5"/>
    <w:qFormat/>
    <w:uiPriority w:val="0"/>
    <w:pPr>
      <w:keepLines w:val="0"/>
      <w:tabs>
        <w:tab w:val="left" w:pos="840"/>
      </w:tabs>
      <w:adjustRightInd w:val="0"/>
      <w:spacing w:before="0" w:after="0" w:line="360" w:lineRule="auto"/>
      <w:ind w:firstLine="480"/>
      <w:textAlignment w:val="baseline"/>
    </w:pPr>
    <w:rPr>
      <w:b w:val="0"/>
      <w:bCs w:val="0"/>
      <w:kern w:val="0"/>
      <w:sz w:val="24"/>
      <w:szCs w:val="20"/>
    </w:rPr>
  </w:style>
  <w:style w:type="paragraph" w:customStyle="1" w:styleId="55">
    <w:name w:val="表格1"/>
    <w:basedOn w:val="1"/>
    <w:qFormat/>
    <w:uiPriority w:val="0"/>
    <w:pPr>
      <w:tabs>
        <w:tab w:val="left" w:pos="737"/>
      </w:tabs>
      <w:adjustRightInd w:val="0"/>
      <w:spacing w:before="120" w:after="120"/>
      <w:jc w:val="left"/>
      <w:textAlignment w:val="baseline"/>
    </w:pPr>
    <w:rPr>
      <w:rFonts w:ascii="Arial" w:hAnsi="Arial"/>
      <w:kern w:val="24"/>
      <w:sz w:val="24"/>
      <w:szCs w:val="20"/>
    </w:rPr>
  </w:style>
  <w:style w:type="paragraph" w:customStyle="1" w:styleId="56">
    <w:name w:val="Char"/>
    <w:basedOn w:val="1"/>
    <w:qFormat/>
    <w:uiPriority w:val="0"/>
  </w:style>
  <w:style w:type="paragraph" w:customStyle="1" w:styleId="57">
    <w:name w:val="xl22"/>
    <w:basedOn w:val="1"/>
    <w:qFormat/>
    <w:uiPriority w:val="0"/>
    <w:pPr>
      <w:widowControl/>
      <w:spacing w:before="100" w:beforeAutospacing="1" w:after="100" w:afterAutospacing="1"/>
      <w:jc w:val="center"/>
    </w:pPr>
    <w:rPr>
      <w:rFonts w:ascii="宋体" w:hAnsi="宋体"/>
      <w:kern w:val="0"/>
      <w:sz w:val="24"/>
    </w:rPr>
  </w:style>
  <w:style w:type="paragraph" w:customStyle="1" w:styleId="58">
    <w:name w:val="Char Char"/>
    <w:basedOn w:val="1"/>
    <w:qFormat/>
    <w:uiPriority w:val="0"/>
    <w:rPr>
      <w:szCs w:val="20"/>
    </w:rPr>
  </w:style>
  <w:style w:type="paragraph" w:customStyle="1" w:styleId="59">
    <w:name w:val="列出段落1"/>
    <w:basedOn w:val="1"/>
    <w:qFormat/>
    <w:uiPriority w:val="34"/>
    <w:pPr>
      <w:ind w:firstLine="420" w:firstLineChars="200"/>
    </w:pPr>
    <w:rPr>
      <w:rFonts w:ascii="Calibri" w:hAnsi="Calibri"/>
      <w:szCs w:val="22"/>
    </w:rPr>
  </w:style>
  <w:style w:type="paragraph" w:styleId="60">
    <w:name w:val="List Paragraph"/>
    <w:basedOn w:val="1"/>
    <w:qFormat/>
    <w:uiPriority w:val="99"/>
    <w:pPr>
      <w:ind w:firstLine="420" w:firstLineChars="200"/>
    </w:pPr>
  </w:style>
  <w:style w:type="paragraph" w:customStyle="1" w:styleId="61">
    <w:name w:val="列出段落11"/>
    <w:basedOn w:val="1"/>
    <w:qFormat/>
    <w:uiPriority w:val="34"/>
    <w:pPr>
      <w:ind w:firstLine="420" w:firstLineChars="200"/>
    </w:pPr>
  </w:style>
  <w:style w:type="paragraph" w:customStyle="1" w:styleId="62">
    <w:name w:val="TOC 标题1"/>
    <w:basedOn w:val="3"/>
    <w:next w:val="1"/>
    <w:unhideWhenUsed/>
    <w:qFormat/>
    <w:uiPriority w:val="39"/>
    <w:pPr>
      <w:outlineLvl w:val="9"/>
    </w:pPr>
  </w:style>
  <w:style w:type="character" w:customStyle="1" w:styleId="63">
    <w:name w:val="font01"/>
    <w:basedOn w:val="36"/>
    <w:qFormat/>
    <w:uiPriority w:val="0"/>
    <w:rPr>
      <w:rFonts w:hint="eastAsia" w:ascii="宋体" w:hAnsi="宋体" w:eastAsia="宋体" w:cs="宋体"/>
      <w:color w:val="000000"/>
      <w:sz w:val="20"/>
      <w:szCs w:val="20"/>
      <w:u w:val="none"/>
    </w:rPr>
  </w:style>
  <w:style w:type="character" w:customStyle="1" w:styleId="64">
    <w:name w:val="未处理的提及1"/>
    <w:basedOn w:val="3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0FC976-ED29-4C5D-BAC6-0E11DE84500D}">
  <ds:schemaRefs/>
</ds:datastoreItem>
</file>

<file path=docProps/app.xml><?xml version="1.0" encoding="utf-8"?>
<Properties xmlns="http://schemas.openxmlformats.org/officeDocument/2006/extended-properties" xmlns:vt="http://schemas.openxmlformats.org/officeDocument/2006/docPropsVTypes">
  <Template>Normal.dotm</Template>
  <Company>zhongpec</Company>
  <Pages>23</Pages>
  <Words>13136</Words>
  <Characters>13724</Characters>
  <Lines>114</Lines>
  <Paragraphs>32</Paragraphs>
  <TotalTime>1</TotalTime>
  <ScaleCrop>false</ScaleCrop>
  <LinksUpToDate>false</LinksUpToDate>
  <CharactersWithSpaces>13947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2024-01-14T07:50:00Z</dcterms:created>
  <dc:creator>jlb</dc:creator>
  <cp:lastModifiedBy>小蜗牛，为梦而生</cp:lastModifiedBy>
  <cp:lastPrinted>2024-09-02T02:42:00Z</cp:lastPrinted>
  <dcterms:modified xsi:type="dcterms:W3CDTF">2026-04-27T01:28:14Z</dcterms:modified>
  <dc:title>一、授权委托书</dc:title>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8027606D48284F0499F08809B188DCBF</vt:lpwstr>
  </property>
  <property fmtid="{D5CDD505-2E9C-101B-9397-08002B2CF9AE}" pid="4" name="KSOTemplateDocerSaveRecord">
    <vt:lpwstr>eyJoZGlkIjoiMDJhNTUyOWI1ODBhNjEyZmY5ZDQwNzFmMzI1Y2IxNDIiLCJ1c2VySWQiOiIyODM0ODc0MzQifQ==</vt:lpwstr>
  </property>
</Properties>
</file>