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EC72DD">
      <w:pPr>
        <w:pStyle w:val="14"/>
        <w:numPr>
          <w:ilvl w:val="0"/>
          <w:numId w:val="1"/>
        </w:numPr>
        <w:spacing w:before="100" w:beforeAutospacing="1" w:after="100" w:afterAutospacing="1" w:line="360" w:lineRule="auto"/>
        <w:ind w:left="0" w:leftChars="0" w:firstLineChars="0"/>
        <w:jc w:val="both"/>
        <w:outlineLvl w:val="2"/>
        <w:rPr>
          <w:rFonts w:ascii="Times New Roman" w:hAnsi="Times New Roman" w:eastAsia="Times New Roman" w:cs="Times New Roman"/>
          <w:b/>
          <w:bCs/>
          <w:kern w:val="0"/>
          <w:lang w:eastAsia="en-GB"/>
          <w14:ligatures w14:val="none"/>
        </w:rPr>
      </w:pPr>
      <w:bookmarkStart w:id="0" w:name="_GoBack"/>
      <w:bookmarkEnd w:id="0"/>
      <w:r>
        <w:rPr>
          <w:rFonts w:ascii="Times New Roman" w:hAnsi="Times New Roman" w:eastAsia="Times New Roman" w:cs="Times New Roman"/>
          <w:b/>
          <w:bCs/>
          <w:kern w:val="0"/>
          <w:lang w:eastAsia="en-GB"/>
          <w14:ligatures w14:val="none"/>
        </w:rPr>
        <w:t>INTRODUCTION</w:t>
      </w:r>
    </w:p>
    <w:p w14:paraId="169F9278">
      <w:pPr>
        <w:pStyle w:val="14"/>
        <w:numPr>
          <w:ilvl w:val="1"/>
          <w:numId w:val="2"/>
        </w:numPr>
        <w:spacing w:before="100" w:beforeAutospacing="1" w:after="100" w:afterAutospacing="1" w:line="360" w:lineRule="auto"/>
        <w:jc w:val="both"/>
        <w:outlineLvl w:val="3"/>
        <w:rPr>
          <w:rFonts w:ascii="Times New Roman" w:hAnsi="Times New Roman" w:eastAsia="Times New Roman" w:cs="Times New Roman"/>
          <w:b/>
          <w:bCs/>
          <w:kern w:val="0"/>
          <w:lang w:eastAsia="en-GB"/>
          <w14:ligatures w14:val="none"/>
        </w:rPr>
      </w:pPr>
      <w:r>
        <w:rPr>
          <w:rFonts w:ascii="Times New Roman" w:hAnsi="Times New Roman" w:eastAsia="Times New Roman" w:cs="Times New Roman"/>
          <w:b/>
          <w:bCs/>
          <w:kern w:val="0"/>
          <w:lang w:eastAsia="en-GB"/>
          <w14:ligatures w14:val="none"/>
        </w:rPr>
        <w:t>Contextualizing the Importance of Electoral Integrity in a Democracy</w:t>
      </w:r>
    </w:p>
    <w:p w14:paraId="59CFEC6D">
      <w:pPr>
        <w:spacing w:before="100" w:beforeAutospacing="1" w:after="100" w:afterAutospacing="1" w:line="360" w:lineRule="auto"/>
        <w:ind w:left="36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 xml:space="preserve">Electoral integrity is foundational to the functioning of democratic governance, ensuring that the power vested in public institutions is derived from the legitimate will of the people. Free, fair, and transparent elections allow citizens to exercise their right to choose their representatives, as recognized under </w:t>
      </w:r>
      <w:r>
        <w:rPr>
          <w:rFonts w:ascii="Times New Roman" w:hAnsi="Times New Roman" w:eastAsia="Times New Roman" w:cs="Times New Roman"/>
          <w:b/>
          <w:bCs/>
          <w:kern w:val="0"/>
          <w:lang w:eastAsia="en-GB"/>
          <w14:ligatures w14:val="none"/>
        </w:rPr>
        <w:t>Article 21 of the Universal Declaration of Human Rights</w:t>
      </w:r>
      <w:r>
        <w:rPr>
          <w:rFonts w:ascii="Times New Roman" w:hAnsi="Times New Roman" w:eastAsia="Times New Roman" w:cs="Times New Roman"/>
          <w:kern w:val="0"/>
          <w:lang w:eastAsia="en-GB"/>
          <w14:ligatures w14:val="none"/>
        </w:rPr>
        <w:t xml:space="preserve"> ("UDHR")</w:t>
      </w:r>
      <w:r>
        <w:rPr>
          <w:rStyle w:val="7"/>
          <w:rFonts w:ascii="Times New Roman" w:hAnsi="Times New Roman" w:eastAsia="Times New Roman" w:cs="Times New Roman"/>
          <w:kern w:val="0"/>
          <w:lang w:eastAsia="en-GB"/>
          <w14:ligatures w14:val="none"/>
        </w:rPr>
        <w:footnoteReference w:id="0"/>
      </w:r>
      <w:r>
        <w:rPr>
          <w:rFonts w:ascii="Times New Roman" w:hAnsi="Times New Roman" w:eastAsia="Times New Roman" w:cs="Times New Roman"/>
          <w:kern w:val="0"/>
          <w:lang w:eastAsia="en-GB"/>
          <w14:ligatures w14:val="none"/>
        </w:rPr>
        <w:t>. Without such integrity, electoral outcomes risk being manipulated, thereby eroding the trust citizens place in democratic institutions.</w:t>
      </w:r>
    </w:p>
    <w:p w14:paraId="276048B5">
      <w:pPr>
        <w:spacing w:before="100" w:beforeAutospacing="1" w:after="100" w:afterAutospacing="1" w:line="360" w:lineRule="auto"/>
        <w:ind w:left="36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In democracies like India, with its extensive socio-economic diversity and vast electorate, electoral integrity assumes unparalleled significance. The principles underpinning India’s electoral system are enshrined in its Constitution, which guarantees equality before the law (Article 14) and safeguards the right to vote under the Representation of the People Act, 1951 ("RPA")</w:t>
      </w:r>
      <w:r>
        <w:rPr>
          <w:rStyle w:val="7"/>
          <w:rFonts w:ascii="Times New Roman" w:hAnsi="Times New Roman" w:eastAsia="Times New Roman" w:cs="Times New Roman"/>
          <w:kern w:val="0"/>
          <w:lang w:eastAsia="en-GB"/>
          <w14:ligatures w14:val="none"/>
        </w:rPr>
        <w:footnoteReference w:id="1"/>
      </w:r>
      <w:r>
        <w:rPr>
          <w:rFonts w:ascii="Times New Roman" w:hAnsi="Times New Roman" w:eastAsia="Times New Roman" w:cs="Times New Roman"/>
          <w:kern w:val="0"/>
          <w:lang w:eastAsia="en-GB"/>
          <w14:ligatures w14:val="none"/>
        </w:rPr>
        <w:t>. However, the persistent challenges posed by electoral malpractices, such as bribery, voter suppression, impersonation, and misinformation, threaten to undermine the authenticity of electoral mandates. For instance, practices like vote-buying distort the fundamental democratic ideal of “one person, one vote,</w:t>
      </w:r>
      <w:r>
        <w:rPr>
          <w:rStyle w:val="7"/>
          <w:rFonts w:ascii="Times New Roman" w:hAnsi="Times New Roman" w:eastAsia="Times New Roman" w:cs="Times New Roman"/>
          <w:kern w:val="0"/>
          <w:lang w:eastAsia="en-GB"/>
          <w14:ligatures w14:val="none"/>
        </w:rPr>
        <w:footnoteReference w:id="2"/>
      </w:r>
      <w:r>
        <w:rPr>
          <w:rFonts w:ascii="Times New Roman" w:hAnsi="Times New Roman" w:eastAsia="Times New Roman" w:cs="Times New Roman"/>
          <w:kern w:val="0"/>
          <w:lang w:eastAsia="en-GB"/>
          <w14:ligatures w14:val="none"/>
        </w:rPr>
        <w:t>” substituting genuine representation with transactional politics.</w:t>
      </w:r>
    </w:p>
    <w:p w14:paraId="4A421361">
      <w:pPr>
        <w:spacing w:before="100" w:beforeAutospacing="1" w:after="100" w:afterAutospacing="1" w:line="360" w:lineRule="auto"/>
        <w:ind w:left="36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In a broader sense, electoral integrity transcends the legal framework; it reflects the collective commitment of citizens, political actors, and institutions to uphold democratic ideals. The absence of such integrity fosters distrust in governance structures, delegitimizes elected officials, and creates a fertile ground for political instability.</w:t>
      </w:r>
    </w:p>
    <w:p w14:paraId="019F7CEF">
      <w:pPr>
        <w:pStyle w:val="14"/>
        <w:numPr>
          <w:ilvl w:val="1"/>
          <w:numId w:val="2"/>
        </w:numPr>
        <w:spacing w:before="100" w:beforeAutospacing="1" w:after="100" w:afterAutospacing="1" w:line="360" w:lineRule="auto"/>
        <w:jc w:val="both"/>
        <w:outlineLvl w:val="3"/>
        <w:rPr>
          <w:rFonts w:ascii="Times New Roman" w:hAnsi="Times New Roman" w:eastAsia="Times New Roman" w:cs="Times New Roman"/>
          <w:b/>
          <w:bCs/>
          <w:kern w:val="0"/>
          <w:lang w:eastAsia="en-GB"/>
          <w14:ligatures w14:val="none"/>
        </w:rPr>
      </w:pPr>
      <w:r>
        <w:rPr>
          <w:rFonts w:ascii="Times New Roman" w:hAnsi="Times New Roman" w:eastAsia="Times New Roman" w:cs="Times New Roman"/>
          <w:b/>
          <w:bCs/>
          <w:kern w:val="0"/>
          <w:lang w:eastAsia="en-GB"/>
          <w14:ligatures w14:val="none"/>
        </w:rPr>
        <w:t>Objectives of Criminalizing Electoral Malpractices</w:t>
      </w:r>
    </w:p>
    <w:p w14:paraId="26B40AA9">
      <w:pPr>
        <w:spacing w:before="100" w:beforeAutospacing="1" w:after="100" w:afterAutospacing="1" w:line="360" w:lineRule="auto"/>
        <w:ind w:left="36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Criminalizing electoral malpractices serves as a critical legal mechanism to safeguard the electoral process. Such criminalization accomplishes three interconnected objectives:</w:t>
      </w:r>
    </w:p>
    <w:p w14:paraId="26C39A6A">
      <w:pPr>
        <w:numPr>
          <w:ilvl w:val="0"/>
          <w:numId w:val="3"/>
        </w:numPr>
        <w:tabs>
          <w:tab w:val="left" w:pos="2880"/>
          <w:tab w:val="clear" w:pos="1070"/>
        </w:tabs>
        <w:spacing w:before="100" w:beforeAutospacing="1" w:after="100" w:afterAutospacing="1" w:line="360" w:lineRule="auto"/>
        <w:ind w:left="108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b/>
          <w:bCs/>
          <w:kern w:val="0"/>
          <w:lang w:eastAsia="en-GB"/>
          <w14:ligatures w14:val="none"/>
        </w:rPr>
        <w:t>Deterrence</w:t>
      </w:r>
      <w:r>
        <w:rPr>
          <w:rFonts w:ascii="Times New Roman" w:hAnsi="Times New Roman" w:eastAsia="Times New Roman" w:cs="Times New Roman"/>
          <w:kern w:val="0"/>
          <w:lang w:eastAsia="en-GB"/>
          <w14:ligatures w14:val="none"/>
        </w:rPr>
        <w:t>: Establishing stringent penalties for electoral offenses discourages candidates, parties, and individuals from engaging in unethical conduct. This objective is evident in the RPA’s provision criminalizing bribery and undue influence under Section 123.</w:t>
      </w:r>
    </w:p>
    <w:p w14:paraId="5F08BA8F">
      <w:pPr>
        <w:numPr>
          <w:ilvl w:val="0"/>
          <w:numId w:val="3"/>
        </w:numPr>
        <w:tabs>
          <w:tab w:val="left" w:pos="2160"/>
          <w:tab w:val="clear" w:pos="1070"/>
        </w:tabs>
        <w:spacing w:before="100" w:beforeAutospacing="1" w:after="100" w:afterAutospacing="1" w:line="360" w:lineRule="auto"/>
        <w:ind w:left="108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b/>
          <w:bCs/>
          <w:kern w:val="0"/>
          <w:lang w:eastAsia="en-GB"/>
          <w14:ligatures w14:val="none"/>
        </w:rPr>
        <w:t>Accountability</w:t>
      </w:r>
      <w:r>
        <w:rPr>
          <w:rFonts w:ascii="Times New Roman" w:hAnsi="Times New Roman" w:eastAsia="Times New Roman" w:cs="Times New Roman"/>
          <w:kern w:val="0"/>
          <w:lang w:eastAsia="en-GB"/>
          <w14:ligatures w14:val="none"/>
        </w:rPr>
        <w:t>: By criminalizing offenses, the legal system ensures that perpetrators are held responsible, thereby restoring public faith in electoral systems. For example, India’s Election Commission has utilized its powers under the RPA to disqualify candidates found guilty of electoral misconduct</w:t>
      </w:r>
      <w:r>
        <w:rPr>
          <w:rStyle w:val="7"/>
          <w:rFonts w:ascii="Times New Roman" w:hAnsi="Times New Roman" w:eastAsia="Times New Roman" w:cs="Times New Roman"/>
          <w:kern w:val="0"/>
          <w:lang w:eastAsia="en-GB"/>
          <w14:ligatures w14:val="none"/>
        </w:rPr>
        <w:footnoteReference w:id="3"/>
      </w:r>
      <w:r>
        <w:rPr>
          <w:rFonts w:ascii="Times New Roman" w:hAnsi="Times New Roman" w:eastAsia="Times New Roman" w:cs="Times New Roman"/>
          <w:kern w:val="0"/>
          <w:lang w:eastAsia="en-GB"/>
          <w14:ligatures w14:val="none"/>
        </w:rPr>
        <w:t>.</w:t>
      </w:r>
    </w:p>
    <w:p w14:paraId="65C13EE8">
      <w:pPr>
        <w:numPr>
          <w:ilvl w:val="0"/>
          <w:numId w:val="3"/>
        </w:numPr>
        <w:tabs>
          <w:tab w:val="left" w:pos="2150"/>
          <w:tab w:val="clear" w:pos="1070"/>
        </w:tabs>
        <w:spacing w:before="100" w:beforeAutospacing="1" w:after="100" w:afterAutospacing="1" w:line="360" w:lineRule="auto"/>
        <w:ind w:left="108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b/>
          <w:bCs/>
          <w:kern w:val="0"/>
          <w:lang w:eastAsia="en-GB"/>
          <w14:ligatures w14:val="none"/>
        </w:rPr>
        <w:t>Reinforcement of Democratic Values</w:t>
      </w:r>
      <w:r>
        <w:rPr>
          <w:rFonts w:ascii="Times New Roman" w:hAnsi="Times New Roman" w:eastAsia="Times New Roman" w:cs="Times New Roman"/>
          <w:kern w:val="0"/>
          <w:lang w:eastAsia="en-GB"/>
          <w14:ligatures w14:val="none"/>
        </w:rPr>
        <w:t>: Criminal penalties emphasize the societal condemnation of electoral malpractices, reinforcing that free and fair elections are a non-negotiable aspect of democracy.</w:t>
      </w:r>
    </w:p>
    <w:p w14:paraId="7888FCAE">
      <w:pPr>
        <w:pStyle w:val="14"/>
        <w:numPr>
          <w:ilvl w:val="1"/>
          <w:numId w:val="2"/>
        </w:numPr>
        <w:spacing w:before="100" w:beforeAutospacing="1" w:after="100" w:afterAutospacing="1" w:line="360" w:lineRule="auto"/>
        <w:jc w:val="both"/>
        <w:outlineLvl w:val="3"/>
        <w:rPr>
          <w:rFonts w:ascii="Times New Roman" w:hAnsi="Times New Roman" w:eastAsia="Times New Roman" w:cs="Times New Roman"/>
          <w:b/>
          <w:bCs/>
          <w:kern w:val="0"/>
          <w:lang w:eastAsia="en-GB"/>
          <w14:ligatures w14:val="none"/>
        </w:rPr>
      </w:pPr>
      <w:r>
        <w:rPr>
          <w:rFonts w:ascii="Times New Roman" w:hAnsi="Times New Roman" w:eastAsia="Times New Roman" w:cs="Times New Roman"/>
          <w:b/>
          <w:bCs/>
          <w:kern w:val="0"/>
          <w:lang w:eastAsia="en-GB"/>
          <w14:ligatures w14:val="none"/>
        </w:rPr>
        <w:t>Scope and Objectives of the Paper</w:t>
      </w:r>
    </w:p>
    <w:p w14:paraId="1F975A0C">
      <w:pPr>
        <w:spacing w:before="100" w:beforeAutospacing="1" w:after="100" w:afterAutospacing="1" w:line="360" w:lineRule="auto"/>
        <w:ind w:left="36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 xml:space="preserve">This paper provides a comprehensive analysis of India’s legal framework addressing electoral malpractices, focusing on its deterrent capacity and enforcement challenges. Specifically, it examines the </w:t>
      </w:r>
      <w:r>
        <w:rPr>
          <w:rFonts w:ascii="Times New Roman" w:hAnsi="Times New Roman" w:eastAsia="Times New Roman" w:cs="Times New Roman"/>
          <w:b/>
          <w:bCs/>
          <w:kern w:val="0"/>
          <w:lang w:eastAsia="en-GB"/>
          <w14:ligatures w14:val="none"/>
        </w:rPr>
        <w:t>Representation of the People Act, 1951</w:t>
      </w:r>
      <w:r>
        <w:rPr>
          <w:rFonts w:ascii="Times New Roman" w:hAnsi="Times New Roman" w:eastAsia="Times New Roman" w:cs="Times New Roman"/>
          <w:kern w:val="0"/>
          <w:lang w:eastAsia="en-GB"/>
          <w14:ligatures w14:val="none"/>
        </w:rPr>
        <w:t xml:space="preserve">, the </w:t>
      </w:r>
      <w:r>
        <w:rPr>
          <w:rFonts w:ascii="Times New Roman" w:hAnsi="Times New Roman" w:eastAsia="Times New Roman" w:cs="Times New Roman"/>
          <w:b/>
          <w:bCs/>
          <w:kern w:val="0"/>
          <w:lang w:eastAsia="en-GB"/>
          <w14:ligatures w14:val="none"/>
        </w:rPr>
        <w:t>Bharatiya Nyaya Sanhita (BNS), 2023</w:t>
      </w:r>
      <w:r>
        <w:rPr>
          <w:rStyle w:val="7"/>
          <w:rFonts w:ascii="Times New Roman" w:hAnsi="Times New Roman" w:eastAsia="Times New Roman" w:cs="Times New Roman"/>
          <w:b/>
          <w:bCs/>
          <w:kern w:val="0"/>
          <w:lang w:eastAsia="en-GB"/>
          <w14:ligatures w14:val="none"/>
        </w:rPr>
        <w:footnoteReference w:id="4"/>
      </w:r>
      <w:r>
        <w:rPr>
          <w:rFonts w:ascii="Times New Roman" w:hAnsi="Times New Roman" w:eastAsia="Times New Roman" w:cs="Times New Roman"/>
          <w:kern w:val="0"/>
          <w:lang w:eastAsia="en-GB"/>
          <w14:ligatures w14:val="none"/>
        </w:rPr>
        <w:t xml:space="preserve">, and the regulatory framework implemented by the </w:t>
      </w:r>
      <w:r>
        <w:rPr>
          <w:rFonts w:ascii="Times New Roman" w:hAnsi="Times New Roman" w:eastAsia="Times New Roman" w:cs="Times New Roman"/>
          <w:b/>
          <w:bCs/>
          <w:kern w:val="0"/>
          <w:lang w:eastAsia="en-GB"/>
          <w14:ligatures w14:val="none"/>
        </w:rPr>
        <w:t>Election Commission of India (ECI)</w:t>
      </w:r>
      <w:r>
        <w:rPr>
          <w:rFonts w:ascii="Times New Roman" w:hAnsi="Times New Roman" w:eastAsia="Times New Roman" w:cs="Times New Roman"/>
          <w:kern w:val="0"/>
          <w:lang w:eastAsia="en-GB"/>
          <w14:ligatures w14:val="none"/>
        </w:rPr>
        <w:t>, Through comparative insights drawn from jurisdictions like South Africa and Brazil, this paper aims to highlight actionable reforms.</w:t>
      </w:r>
    </w:p>
    <w:p w14:paraId="4516F4FB">
      <w:pPr>
        <w:spacing w:before="100" w:beforeAutospacing="1" w:after="100" w:afterAutospacing="1" w:line="360" w:lineRule="auto"/>
        <w:ind w:left="36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The specific objectives of the paper are to:</w:t>
      </w:r>
    </w:p>
    <w:p w14:paraId="0FEE0502">
      <w:pPr>
        <w:numPr>
          <w:ilvl w:val="0"/>
          <w:numId w:val="4"/>
        </w:numPr>
        <w:tabs>
          <w:tab w:val="left" w:pos="1800"/>
          <w:tab w:val="clear" w:pos="720"/>
        </w:tabs>
        <w:spacing w:before="100" w:beforeAutospacing="1" w:after="100" w:afterAutospacing="1" w:line="360" w:lineRule="auto"/>
        <w:ind w:left="108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Analyze the deterrent effects of criminal provisions against electoral malpractices in India.</w:t>
      </w:r>
    </w:p>
    <w:p w14:paraId="29FBFABB">
      <w:pPr>
        <w:numPr>
          <w:ilvl w:val="0"/>
          <w:numId w:val="4"/>
        </w:numPr>
        <w:tabs>
          <w:tab w:val="left" w:pos="1800"/>
          <w:tab w:val="clear" w:pos="720"/>
        </w:tabs>
        <w:spacing w:before="100" w:beforeAutospacing="1" w:after="100" w:afterAutospacing="1" w:line="360" w:lineRule="auto"/>
        <w:ind w:left="108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Identify gaps in enforcement, including judicial delays and political interference.</w:t>
      </w:r>
    </w:p>
    <w:p w14:paraId="0D645304">
      <w:pPr>
        <w:numPr>
          <w:ilvl w:val="0"/>
          <w:numId w:val="4"/>
        </w:numPr>
        <w:tabs>
          <w:tab w:val="left" w:pos="1800"/>
          <w:tab w:val="clear" w:pos="720"/>
        </w:tabs>
        <w:spacing w:before="100" w:beforeAutospacing="1" w:after="100" w:afterAutospacing="1" w:line="360" w:lineRule="auto"/>
        <w:ind w:left="108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Propose legal, administrative, and technological reforms to strengthen electoral integrity.</w:t>
      </w:r>
    </w:p>
    <w:p w14:paraId="5638B870">
      <w:pPr>
        <w:spacing w:before="100" w:beforeAutospacing="1" w:after="100" w:afterAutospacing="1" w:line="360" w:lineRule="auto"/>
        <w:ind w:left="36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Ultimately, this paper seeks to contribute to the broader discourse on ensuring the credibility of democratic processes in India and worldwide.</w:t>
      </w:r>
    </w:p>
    <w:p w14:paraId="6024280C">
      <w:pPr>
        <w:pStyle w:val="14"/>
        <w:numPr>
          <w:ilvl w:val="0"/>
          <w:numId w:val="2"/>
        </w:numPr>
        <w:spacing w:before="100" w:beforeAutospacing="1" w:after="100" w:afterAutospacing="1" w:line="360" w:lineRule="auto"/>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b/>
          <w:bCs/>
          <w:kern w:val="0"/>
          <w:lang w:eastAsia="en-GB"/>
          <w14:ligatures w14:val="none"/>
        </w:rPr>
        <w:t>ELECTORAL MALPRACTICES: DEFINITIONS, TYPES, AND IMPACTS</w:t>
      </w:r>
    </w:p>
    <w:p w14:paraId="08A23DA9">
      <w:pPr>
        <w:pStyle w:val="14"/>
        <w:numPr>
          <w:ilvl w:val="1"/>
          <w:numId w:val="2"/>
        </w:numPr>
        <w:spacing w:before="100" w:beforeAutospacing="1" w:after="100" w:afterAutospacing="1" w:line="360" w:lineRule="auto"/>
        <w:jc w:val="both"/>
        <w:outlineLvl w:val="3"/>
        <w:rPr>
          <w:rFonts w:ascii="Times New Roman" w:hAnsi="Times New Roman" w:eastAsia="Times New Roman" w:cs="Times New Roman"/>
          <w:b/>
          <w:bCs/>
          <w:kern w:val="0"/>
          <w:lang w:eastAsia="en-GB"/>
          <w14:ligatures w14:val="none"/>
        </w:rPr>
      </w:pPr>
      <w:r>
        <w:rPr>
          <w:rFonts w:ascii="Times New Roman" w:hAnsi="Times New Roman" w:eastAsia="Times New Roman" w:cs="Times New Roman"/>
          <w:b/>
          <w:bCs/>
          <w:kern w:val="0"/>
          <w:lang w:eastAsia="en-GB"/>
          <w14:ligatures w14:val="none"/>
        </w:rPr>
        <w:t>Understanding Electoral Malpractices</w:t>
      </w:r>
    </w:p>
    <w:p w14:paraId="2883F402">
      <w:pPr>
        <w:spacing w:before="100" w:beforeAutospacing="1" w:after="100" w:afterAutospacing="1" w:line="360" w:lineRule="auto"/>
        <w:ind w:left="36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Electoral malpractices encompass illegal, unethical, or fraudulent activities during the electoral process that disrupt the fairness, transparency, and integrity of elections. These malpractices are detrimental to the democratic process as they distort the true will of the people. Such acts can occur at various stages: before elections (e.g., during voter registration), during voting (e.g., vote buying), and after the election (e.g., vote counting fraud).</w:t>
      </w:r>
    </w:p>
    <w:p w14:paraId="208BEAD6">
      <w:pPr>
        <w:spacing w:before="100" w:beforeAutospacing="1" w:after="100" w:afterAutospacing="1" w:line="360" w:lineRule="auto"/>
        <w:ind w:left="36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Some common examples of electoral malpractices include:</w:t>
      </w:r>
    </w:p>
    <w:p w14:paraId="15F2708A">
      <w:pPr>
        <w:numPr>
          <w:ilvl w:val="0"/>
          <w:numId w:val="5"/>
        </w:numPr>
        <w:tabs>
          <w:tab w:val="left" w:pos="2160"/>
          <w:tab w:val="clear" w:pos="720"/>
        </w:tabs>
        <w:spacing w:before="100" w:beforeAutospacing="1" w:after="100" w:afterAutospacing="1" w:line="360" w:lineRule="auto"/>
        <w:ind w:left="108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b/>
          <w:bCs/>
          <w:kern w:val="0"/>
          <w:lang w:eastAsia="en-GB"/>
          <w14:ligatures w14:val="none"/>
        </w:rPr>
        <w:t>Voter impersonation</w:t>
      </w:r>
      <w:r>
        <w:rPr>
          <w:rFonts w:ascii="Times New Roman" w:hAnsi="Times New Roman" w:eastAsia="Times New Roman" w:cs="Times New Roman"/>
          <w:kern w:val="0"/>
          <w:lang w:eastAsia="en-GB"/>
          <w14:ligatures w14:val="none"/>
        </w:rPr>
        <w:t>: This involves one individual casting a vote using someone else’s identity. It often happens by using stolen or forged voter identification cards. This fraudulent act undermines the principle of "one person, one vote," and the secrecy of the ballot.</w:t>
      </w:r>
    </w:p>
    <w:p w14:paraId="6AC4795A">
      <w:pPr>
        <w:spacing w:before="100" w:beforeAutospacing="1" w:after="100" w:afterAutospacing="1" w:line="360" w:lineRule="auto"/>
        <w:ind w:left="108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Example: A person illegally votes in place of someone else who is either unaware of the fraud or unable to vote.</w:t>
      </w:r>
    </w:p>
    <w:p w14:paraId="452EF006">
      <w:pPr>
        <w:numPr>
          <w:ilvl w:val="0"/>
          <w:numId w:val="5"/>
        </w:numPr>
        <w:tabs>
          <w:tab w:val="left" w:pos="2160"/>
          <w:tab w:val="clear" w:pos="720"/>
        </w:tabs>
        <w:spacing w:before="100" w:beforeAutospacing="1" w:after="100" w:afterAutospacing="1" w:line="360" w:lineRule="auto"/>
        <w:ind w:left="108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b/>
          <w:bCs/>
          <w:kern w:val="0"/>
          <w:lang w:eastAsia="en-GB"/>
          <w14:ligatures w14:val="none"/>
        </w:rPr>
        <w:t>Ballot stuffing</w:t>
      </w:r>
      <w:r>
        <w:rPr>
          <w:rFonts w:ascii="Times New Roman" w:hAnsi="Times New Roman" w:eastAsia="Times New Roman" w:cs="Times New Roman"/>
          <w:kern w:val="0"/>
          <w:lang w:eastAsia="en-GB"/>
          <w14:ligatures w14:val="none"/>
        </w:rPr>
        <w:t>: In this practice, extra ballots are secretly added to the ballot box, inflating the total number of votes cast for a particular candidate or party.</w:t>
      </w:r>
    </w:p>
    <w:p w14:paraId="5FD7D36E">
      <w:pPr>
        <w:spacing w:before="100" w:beforeAutospacing="1" w:after="100" w:afterAutospacing="1" w:line="360" w:lineRule="auto"/>
        <w:ind w:left="108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Example: During an election, officials or political agents fill the ballot box with fake ballots, bypassing the checks and balances in place.</w:t>
      </w:r>
    </w:p>
    <w:p w14:paraId="4FC2EBF5">
      <w:pPr>
        <w:numPr>
          <w:ilvl w:val="0"/>
          <w:numId w:val="5"/>
        </w:numPr>
        <w:tabs>
          <w:tab w:val="left" w:pos="2160"/>
          <w:tab w:val="clear" w:pos="720"/>
        </w:tabs>
        <w:spacing w:before="100" w:beforeAutospacing="1" w:after="100" w:afterAutospacing="1" w:line="360" w:lineRule="auto"/>
        <w:ind w:left="108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b/>
          <w:bCs/>
          <w:kern w:val="0"/>
          <w:lang w:eastAsia="en-GB"/>
          <w14:ligatures w14:val="none"/>
        </w:rPr>
        <w:t>Bribery</w:t>
      </w:r>
      <w:r>
        <w:rPr>
          <w:rFonts w:ascii="Times New Roman" w:hAnsi="Times New Roman" w:eastAsia="Times New Roman" w:cs="Times New Roman"/>
          <w:kern w:val="0"/>
          <w:lang w:eastAsia="en-GB"/>
          <w14:ligatures w14:val="none"/>
        </w:rPr>
        <w:t>: This refers to the practice of offering financial incentives or material goods in exchange for votes. Bribery distorts the electorate’s true preferences by making elections a transaction instead of an exercise of civic duty</w:t>
      </w:r>
      <w:r>
        <w:rPr>
          <w:rStyle w:val="7"/>
          <w:rFonts w:ascii="Times New Roman" w:hAnsi="Times New Roman" w:eastAsia="Times New Roman" w:cs="Times New Roman"/>
          <w:kern w:val="0"/>
          <w:lang w:eastAsia="en-GB"/>
          <w14:ligatures w14:val="none"/>
        </w:rPr>
        <w:footnoteReference w:id="5"/>
      </w:r>
      <w:r>
        <w:rPr>
          <w:rFonts w:ascii="Times New Roman" w:hAnsi="Times New Roman" w:eastAsia="Times New Roman" w:cs="Times New Roman"/>
          <w:kern w:val="0"/>
          <w:lang w:eastAsia="en-GB"/>
          <w14:ligatures w14:val="none"/>
        </w:rPr>
        <w:t>.</w:t>
      </w:r>
    </w:p>
    <w:p w14:paraId="32EF6F61">
      <w:pPr>
        <w:spacing w:before="100" w:beforeAutospacing="1" w:after="100" w:afterAutospacing="1" w:line="360" w:lineRule="auto"/>
        <w:ind w:left="108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Example: A politician or party offers voters money, goods, or promises of future benefits in exchange for voting in their favor.</w:t>
      </w:r>
    </w:p>
    <w:p w14:paraId="378D8A1C">
      <w:pPr>
        <w:numPr>
          <w:ilvl w:val="0"/>
          <w:numId w:val="5"/>
        </w:numPr>
        <w:tabs>
          <w:tab w:val="left" w:pos="1800"/>
          <w:tab w:val="clear" w:pos="720"/>
        </w:tabs>
        <w:spacing w:before="100" w:beforeAutospacing="1" w:after="100" w:afterAutospacing="1" w:line="360" w:lineRule="auto"/>
        <w:ind w:left="108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b/>
          <w:bCs/>
          <w:kern w:val="0"/>
          <w:lang w:eastAsia="en-GB"/>
          <w14:ligatures w14:val="none"/>
        </w:rPr>
        <w:t>Intimidation and coercion</w:t>
      </w:r>
      <w:r>
        <w:rPr>
          <w:rFonts w:ascii="Times New Roman" w:hAnsi="Times New Roman" w:eastAsia="Times New Roman" w:cs="Times New Roman"/>
          <w:kern w:val="0"/>
          <w:lang w:eastAsia="en-GB"/>
          <w14:ligatures w14:val="none"/>
        </w:rPr>
        <w:t>: Electoral intimidation occurs when voters are forced or threatened with harm to vote in a particular way. It may also involve violence or the threat of violence to influence voter choices.</w:t>
      </w:r>
    </w:p>
    <w:p w14:paraId="41C8794E">
      <w:pPr>
        <w:spacing w:before="100" w:beforeAutospacing="1" w:after="100" w:afterAutospacing="1" w:line="360" w:lineRule="auto"/>
        <w:ind w:left="108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Example: In some cases, political goons might intimidate voters to cast ballots under duress.</w:t>
      </w:r>
    </w:p>
    <w:p w14:paraId="52B7E1AA">
      <w:pPr>
        <w:pStyle w:val="14"/>
        <w:numPr>
          <w:ilvl w:val="1"/>
          <w:numId w:val="2"/>
        </w:numPr>
        <w:spacing w:before="100" w:beforeAutospacing="1" w:after="100" w:afterAutospacing="1" w:line="360" w:lineRule="auto"/>
        <w:jc w:val="both"/>
        <w:outlineLvl w:val="3"/>
        <w:rPr>
          <w:rFonts w:ascii="Times New Roman" w:hAnsi="Times New Roman" w:eastAsia="Times New Roman" w:cs="Times New Roman"/>
          <w:b/>
          <w:bCs/>
          <w:kern w:val="0"/>
          <w:lang w:eastAsia="en-GB"/>
          <w14:ligatures w14:val="none"/>
        </w:rPr>
      </w:pPr>
      <w:r>
        <w:rPr>
          <w:rFonts w:ascii="Times New Roman" w:hAnsi="Times New Roman" w:eastAsia="Times New Roman" w:cs="Times New Roman"/>
          <w:b/>
          <w:bCs/>
          <w:kern w:val="0"/>
          <w:lang w:eastAsia="en-GB"/>
          <w14:ligatures w14:val="none"/>
        </w:rPr>
        <w:t xml:space="preserve"> Categories of Malpractices</w:t>
      </w:r>
    </w:p>
    <w:p w14:paraId="373AE4E8">
      <w:pPr>
        <w:spacing w:before="100" w:beforeAutospacing="1" w:after="100" w:afterAutospacing="1" w:line="360" w:lineRule="auto"/>
        <w:ind w:left="36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Electoral malpractices can be categorized into specific forms, each with distinct characteristics, but all aiming to undermine the fairness of the electoral process.</w:t>
      </w:r>
    </w:p>
    <w:p w14:paraId="535D9334">
      <w:pPr>
        <w:numPr>
          <w:ilvl w:val="0"/>
          <w:numId w:val="6"/>
        </w:numPr>
        <w:tabs>
          <w:tab w:val="left" w:pos="1440"/>
          <w:tab w:val="left" w:pos="1724"/>
          <w:tab w:val="clear" w:pos="644"/>
        </w:tabs>
        <w:spacing w:before="100" w:beforeAutospacing="1" w:after="100" w:afterAutospacing="1" w:line="360" w:lineRule="auto"/>
        <w:ind w:left="108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b/>
          <w:bCs/>
          <w:kern w:val="0"/>
          <w:lang w:eastAsia="en-GB"/>
          <w14:ligatures w14:val="none"/>
        </w:rPr>
        <w:t>Voter Suppression</w:t>
      </w:r>
    </w:p>
    <w:p w14:paraId="04A358B4">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Voter suppression refers to actions taken to prevent specific groups of people from voting or having their votes counted. It includes measures such as purging voter rolls, imposing restrictive voter ID requirements, and creating long lines or inaccessible polling stations in certain areas</w:t>
      </w:r>
      <w:r>
        <w:rPr>
          <w:rStyle w:val="7"/>
          <w:rFonts w:ascii="Times New Roman" w:hAnsi="Times New Roman" w:eastAsia="Times New Roman" w:cs="Times New Roman"/>
          <w:kern w:val="0"/>
          <w:lang w:eastAsia="en-GB"/>
          <w14:ligatures w14:val="none"/>
        </w:rPr>
        <w:footnoteReference w:id="6"/>
      </w:r>
      <w:r>
        <w:rPr>
          <w:rFonts w:ascii="Times New Roman" w:hAnsi="Times New Roman" w:eastAsia="Times New Roman" w:cs="Times New Roman"/>
          <w:kern w:val="0"/>
          <w:lang w:eastAsia="en-GB"/>
          <w14:ligatures w14:val="none"/>
        </w:rPr>
        <w:t>.</w:t>
      </w:r>
    </w:p>
    <w:p w14:paraId="2682A935">
      <w:pPr>
        <w:numPr>
          <w:ilvl w:val="0"/>
          <w:numId w:val="7"/>
        </w:numPr>
        <w:tabs>
          <w:tab w:val="left" w:pos="3600"/>
        </w:tabs>
        <w:spacing w:before="100" w:beforeAutospacing="1" w:after="100" w:afterAutospacing="1" w:line="360" w:lineRule="auto"/>
        <w:ind w:left="108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b/>
          <w:bCs/>
          <w:kern w:val="0"/>
          <w:lang w:eastAsia="en-GB"/>
          <w14:ligatures w14:val="none"/>
        </w:rPr>
        <w:t>Purging Voter Rolls</w:t>
      </w:r>
      <w:r>
        <w:rPr>
          <w:rFonts w:ascii="Times New Roman" w:hAnsi="Times New Roman" w:eastAsia="Times New Roman" w:cs="Times New Roman"/>
          <w:kern w:val="0"/>
          <w:lang w:eastAsia="en-GB"/>
          <w14:ligatures w14:val="none"/>
        </w:rPr>
        <w:t>: Authorities may remove eligible voters from the rolls, often without proper justification, disenfranchising people who may not know they are no longer eligible.</w:t>
      </w:r>
    </w:p>
    <w:p w14:paraId="00B44D1B">
      <w:pPr>
        <w:numPr>
          <w:ilvl w:val="0"/>
          <w:numId w:val="7"/>
        </w:numPr>
        <w:tabs>
          <w:tab w:val="left" w:pos="3960"/>
        </w:tabs>
        <w:spacing w:before="100" w:beforeAutospacing="1" w:after="100" w:afterAutospacing="1" w:line="360" w:lineRule="auto"/>
        <w:ind w:left="108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b/>
          <w:bCs/>
          <w:kern w:val="0"/>
          <w:lang w:eastAsia="en-GB"/>
          <w14:ligatures w14:val="none"/>
        </w:rPr>
        <w:t>Voter ID Laws</w:t>
      </w:r>
      <w:r>
        <w:rPr>
          <w:rFonts w:ascii="Times New Roman" w:hAnsi="Times New Roman" w:eastAsia="Times New Roman" w:cs="Times New Roman"/>
          <w:kern w:val="0"/>
          <w:lang w:eastAsia="en-GB"/>
          <w14:ligatures w14:val="none"/>
        </w:rPr>
        <w:t>: Strict voter identification laws can disproportionately affect minorities, the elderly, and the poor, who may lack the required identification.</w:t>
      </w:r>
    </w:p>
    <w:p w14:paraId="64F87932">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The impact of voter suppression is particularly evident in marginalized communities, where the right to vote is most at risk.</w:t>
      </w:r>
    </w:p>
    <w:p w14:paraId="50EF9123">
      <w:pPr>
        <w:numPr>
          <w:ilvl w:val="0"/>
          <w:numId w:val="8"/>
        </w:numPr>
        <w:tabs>
          <w:tab w:val="left" w:pos="3600"/>
          <w:tab w:val="clear" w:pos="720"/>
        </w:tabs>
        <w:spacing w:before="100" w:beforeAutospacing="1" w:after="100" w:afterAutospacing="1" w:line="360" w:lineRule="auto"/>
        <w:ind w:left="108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b/>
          <w:bCs/>
          <w:kern w:val="0"/>
          <w:lang w:eastAsia="en-GB"/>
          <w14:ligatures w14:val="none"/>
        </w:rPr>
        <w:t>Bribery and Undue Influence</w:t>
      </w:r>
    </w:p>
    <w:p w14:paraId="64CA354F">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Bribery and undue influence are prevalent when voters are offered money or other incentives in exchange for voting in a particular way. This practice corrupts the democratic process by replacing informed, independent choices with decisions made based on material gain</w:t>
      </w:r>
      <w:r>
        <w:rPr>
          <w:rStyle w:val="7"/>
          <w:rFonts w:ascii="Times New Roman" w:hAnsi="Times New Roman" w:eastAsia="Times New Roman" w:cs="Times New Roman"/>
          <w:kern w:val="0"/>
          <w:lang w:eastAsia="en-GB"/>
          <w14:ligatures w14:val="none"/>
        </w:rPr>
        <w:footnoteReference w:id="7"/>
      </w:r>
      <w:r>
        <w:rPr>
          <w:rFonts w:ascii="Times New Roman" w:hAnsi="Times New Roman" w:eastAsia="Times New Roman" w:cs="Times New Roman"/>
          <w:kern w:val="0"/>
          <w:lang w:eastAsia="en-GB"/>
          <w14:ligatures w14:val="none"/>
        </w:rPr>
        <w:t>.</w:t>
      </w:r>
    </w:p>
    <w:p w14:paraId="37E0A375">
      <w:pPr>
        <w:numPr>
          <w:ilvl w:val="0"/>
          <w:numId w:val="9"/>
        </w:numPr>
        <w:tabs>
          <w:tab w:val="left" w:pos="4320"/>
          <w:tab w:val="clear" w:pos="720"/>
        </w:tabs>
        <w:spacing w:before="100" w:beforeAutospacing="1" w:after="100" w:afterAutospacing="1" w:line="360" w:lineRule="auto"/>
        <w:ind w:left="144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b/>
          <w:bCs/>
          <w:kern w:val="0"/>
          <w:lang w:eastAsia="en-GB"/>
          <w14:ligatures w14:val="none"/>
        </w:rPr>
        <w:t>Direct Bribery</w:t>
      </w:r>
      <w:r>
        <w:rPr>
          <w:rFonts w:ascii="Times New Roman" w:hAnsi="Times New Roman" w:eastAsia="Times New Roman" w:cs="Times New Roman"/>
          <w:kern w:val="0"/>
          <w:lang w:eastAsia="en-GB"/>
          <w14:ligatures w14:val="none"/>
        </w:rPr>
        <w:t>: Political agents may distribute cash, food, or other forms of payment to voters.</w:t>
      </w:r>
    </w:p>
    <w:p w14:paraId="77C22D64">
      <w:pPr>
        <w:numPr>
          <w:ilvl w:val="0"/>
          <w:numId w:val="9"/>
        </w:numPr>
        <w:tabs>
          <w:tab w:val="left" w:pos="3960"/>
          <w:tab w:val="clear" w:pos="720"/>
        </w:tabs>
        <w:spacing w:before="100" w:beforeAutospacing="1" w:after="100" w:afterAutospacing="1" w:line="360" w:lineRule="auto"/>
        <w:ind w:left="144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b/>
          <w:bCs/>
          <w:kern w:val="0"/>
          <w:lang w:eastAsia="en-GB"/>
          <w14:ligatures w14:val="none"/>
        </w:rPr>
        <w:t>Indirect Bribery</w:t>
      </w:r>
      <w:r>
        <w:rPr>
          <w:rFonts w:ascii="Times New Roman" w:hAnsi="Times New Roman" w:eastAsia="Times New Roman" w:cs="Times New Roman"/>
          <w:kern w:val="0"/>
          <w:lang w:eastAsia="en-GB"/>
          <w14:ligatures w14:val="none"/>
        </w:rPr>
        <w:t>: A candidate or party may offer jobs or other benefits to voters if they win, thus influencing voting behavior.</w:t>
      </w:r>
    </w:p>
    <w:p w14:paraId="7859EB99">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This category also includes non-financial inducements such as promises of preferential treatment in government services or projects.</w:t>
      </w:r>
    </w:p>
    <w:p w14:paraId="3251EE6C">
      <w:pPr>
        <w:numPr>
          <w:ilvl w:val="0"/>
          <w:numId w:val="10"/>
        </w:numPr>
        <w:tabs>
          <w:tab w:val="left" w:pos="3600"/>
          <w:tab w:val="clear" w:pos="720"/>
        </w:tabs>
        <w:spacing w:before="100" w:beforeAutospacing="1" w:after="100" w:afterAutospacing="1" w:line="360" w:lineRule="auto"/>
        <w:ind w:left="108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b/>
          <w:bCs/>
          <w:kern w:val="0"/>
          <w:lang w:eastAsia="en-GB"/>
          <w14:ligatures w14:val="none"/>
        </w:rPr>
        <w:t>Impersonation and Fraudulent Voting</w:t>
      </w:r>
    </w:p>
    <w:p w14:paraId="6F68443E">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This category involves fraudulent voting practices where an individual casts a ballot on behalf of someone else. It can take many forms, from the use of fake identification cards to more elaborate schemes involving organized groups that "buy" votes through impersonation</w:t>
      </w:r>
      <w:r>
        <w:rPr>
          <w:rStyle w:val="7"/>
          <w:rFonts w:ascii="Times New Roman" w:hAnsi="Times New Roman" w:eastAsia="Times New Roman" w:cs="Times New Roman"/>
          <w:kern w:val="0"/>
          <w:lang w:eastAsia="en-GB"/>
          <w14:ligatures w14:val="none"/>
        </w:rPr>
        <w:footnoteReference w:id="8"/>
      </w:r>
      <w:r>
        <w:rPr>
          <w:rFonts w:ascii="Times New Roman" w:hAnsi="Times New Roman" w:eastAsia="Times New Roman" w:cs="Times New Roman"/>
          <w:kern w:val="0"/>
          <w:lang w:eastAsia="en-GB"/>
          <w14:ligatures w14:val="none"/>
        </w:rPr>
        <w:t>.</w:t>
      </w:r>
    </w:p>
    <w:p w14:paraId="2927548E">
      <w:pPr>
        <w:numPr>
          <w:ilvl w:val="0"/>
          <w:numId w:val="11"/>
        </w:numPr>
        <w:tabs>
          <w:tab w:val="left" w:pos="3960"/>
          <w:tab w:val="clear" w:pos="720"/>
        </w:tabs>
        <w:spacing w:before="100" w:beforeAutospacing="1" w:after="100" w:afterAutospacing="1" w:line="360" w:lineRule="auto"/>
        <w:ind w:left="144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b/>
          <w:bCs/>
          <w:kern w:val="0"/>
          <w:lang w:eastAsia="en-GB"/>
          <w14:ligatures w14:val="none"/>
        </w:rPr>
        <w:t>Use of Fake IDs</w:t>
      </w:r>
      <w:r>
        <w:rPr>
          <w:rFonts w:ascii="Times New Roman" w:hAnsi="Times New Roman" w:eastAsia="Times New Roman" w:cs="Times New Roman"/>
          <w:kern w:val="0"/>
          <w:lang w:eastAsia="en-GB"/>
          <w14:ligatures w14:val="none"/>
        </w:rPr>
        <w:t>: This involves presenting a fraudulent voter identification card at a polling station.</w:t>
      </w:r>
    </w:p>
    <w:p w14:paraId="75DECDFE">
      <w:pPr>
        <w:numPr>
          <w:ilvl w:val="0"/>
          <w:numId w:val="11"/>
        </w:numPr>
        <w:tabs>
          <w:tab w:val="left" w:pos="3600"/>
          <w:tab w:val="clear" w:pos="720"/>
        </w:tabs>
        <w:spacing w:before="100" w:beforeAutospacing="1" w:after="100" w:afterAutospacing="1" w:line="360" w:lineRule="auto"/>
        <w:ind w:left="144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b/>
          <w:bCs/>
          <w:kern w:val="0"/>
          <w:lang w:eastAsia="en-GB"/>
          <w14:ligatures w14:val="none"/>
        </w:rPr>
        <w:t>Voting by Non-Eligible Persons</w:t>
      </w:r>
      <w:r>
        <w:rPr>
          <w:rFonts w:ascii="Times New Roman" w:hAnsi="Times New Roman" w:eastAsia="Times New Roman" w:cs="Times New Roman"/>
          <w:kern w:val="0"/>
          <w:lang w:eastAsia="en-GB"/>
          <w14:ligatures w14:val="none"/>
        </w:rPr>
        <w:t>: In some cases, individuals who are not registered voters may be allowed to cast ballots by presenting forged documents.</w:t>
      </w:r>
    </w:p>
    <w:p w14:paraId="3685A328">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The key impact of this malpractice is its direct effect on vote totals, skewing the outcome of elections.</w:t>
      </w:r>
    </w:p>
    <w:p w14:paraId="78CCD89D">
      <w:pPr>
        <w:numPr>
          <w:ilvl w:val="0"/>
          <w:numId w:val="12"/>
        </w:numPr>
        <w:tabs>
          <w:tab w:val="left" w:pos="3240"/>
          <w:tab w:val="clear" w:pos="720"/>
        </w:tabs>
        <w:spacing w:before="100" w:beforeAutospacing="1" w:after="100" w:afterAutospacing="1" w:line="360" w:lineRule="auto"/>
        <w:ind w:left="108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b/>
          <w:bCs/>
          <w:kern w:val="0"/>
          <w:lang w:eastAsia="en-GB"/>
          <w14:ligatures w14:val="none"/>
        </w:rPr>
        <w:t>Vote Tampering and Misinformation</w:t>
      </w:r>
    </w:p>
    <w:p w14:paraId="552894C2">
      <w:pPr>
        <w:numPr>
          <w:ilvl w:val="0"/>
          <w:numId w:val="13"/>
        </w:numPr>
        <w:tabs>
          <w:tab w:val="left" w:pos="3600"/>
          <w:tab w:val="clear" w:pos="720"/>
        </w:tabs>
        <w:spacing w:before="100" w:beforeAutospacing="1" w:after="100" w:afterAutospacing="1" w:line="360" w:lineRule="auto"/>
        <w:ind w:left="144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b/>
          <w:bCs/>
          <w:kern w:val="0"/>
          <w:lang w:eastAsia="en-GB"/>
          <w14:ligatures w14:val="none"/>
        </w:rPr>
        <w:t>Vote Tampering</w:t>
      </w:r>
      <w:r>
        <w:rPr>
          <w:rFonts w:ascii="Times New Roman" w:hAnsi="Times New Roman" w:eastAsia="Times New Roman" w:cs="Times New Roman"/>
          <w:kern w:val="0"/>
          <w:lang w:eastAsia="en-GB"/>
          <w14:ligatures w14:val="none"/>
        </w:rPr>
        <w:t>: This includes altering the voting process or tampering with machines used in electronic voting. Instances such as changing the votes recorded in electronic voting machines (EVMs) or manipulating paper ballots after counting can skew results.</w:t>
      </w:r>
    </w:p>
    <w:p w14:paraId="6095ED94">
      <w:pPr>
        <w:numPr>
          <w:ilvl w:val="0"/>
          <w:numId w:val="13"/>
        </w:numPr>
        <w:tabs>
          <w:tab w:val="left" w:pos="3600"/>
          <w:tab w:val="clear" w:pos="720"/>
        </w:tabs>
        <w:spacing w:before="100" w:beforeAutospacing="1" w:after="100" w:afterAutospacing="1" w:line="360" w:lineRule="auto"/>
        <w:ind w:left="144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b/>
          <w:bCs/>
          <w:kern w:val="0"/>
          <w:lang w:eastAsia="en-GB"/>
          <w14:ligatures w14:val="none"/>
        </w:rPr>
        <w:t>Misinformation and Fake News</w:t>
      </w:r>
      <w:r>
        <w:rPr>
          <w:rFonts w:ascii="Times New Roman" w:hAnsi="Times New Roman" w:eastAsia="Times New Roman" w:cs="Times New Roman"/>
          <w:kern w:val="0"/>
          <w:lang w:eastAsia="en-GB"/>
          <w14:ligatures w14:val="none"/>
        </w:rPr>
        <w:t>: The digital age has brought about an explosion of fake news, where false information about candidates, policies, or the electoral process itself spreads rapidly. Misinformation can dissuade voters from participating or lead them to vote based on incorrect data, undermining the fairness of elections</w:t>
      </w:r>
      <w:r>
        <w:rPr>
          <w:rStyle w:val="7"/>
          <w:rFonts w:ascii="Times New Roman" w:hAnsi="Times New Roman" w:eastAsia="Times New Roman" w:cs="Times New Roman"/>
          <w:kern w:val="0"/>
          <w:lang w:eastAsia="en-GB"/>
          <w14:ligatures w14:val="none"/>
        </w:rPr>
        <w:footnoteReference w:id="9"/>
      </w:r>
      <w:r>
        <w:rPr>
          <w:rFonts w:ascii="Times New Roman" w:hAnsi="Times New Roman" w:eastAsia="Times New Roman" w:cs="Times New Roman"/>
          <w:kern w:val="0"/>
          <w:lang w:eastAsia="en-GB"/>
          <w14:ligatures w14:val="none"/>
        </w:rPr>
        <w:t>.</w:t>
      </w:r>
    </w:p>
    <w:p w14:paraId="60142486">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The rise of social media platforms has made misinformation a particularly difficult issue to address, especially during critical election periods.</w:t>
      </w:r>
    </w:p>
    <w:p w14:paraId="7232ECBF">
      <w:pPr>
        <w:pStyle w:val="14"/>
        <w:numPr>
          <w:ilvl w:val="1"/>
          <w:numId w:val="2"/>
        </w:numPr>
        <w:spacing w:before="100" w:beforeAutospacing="1" w:after="100" w:afterAutospacing="1" w:line="360" w:lineRule="auto"/>
        <w:jc w:val="both"/>
        <w:outlineLvl w:val="3"/>
        <w:rPr>
          <w:rFonts w:ascii="Times New Roman" w:hAnsi="Times New Roman" w:eastAsia="Times New Roman" w:cs="Times New Roman"/>
          <w:b/>
          <w:bCs/>
          <w:kern w:val="0"/>
          <w:lang w:eastAsia="en-GB"/>
          <w14:ligatures w14:val="none"/>
        </w:rPr>
      </w:pPr>
      <w:r>
        <w:rPr>
          <w:rFonts w:ascii="Times New Roman" w:hAnsi="Times New Roman" w:eastAsia="Times New Roman" w:cs="Times New Roman"/>
          <w:b/>
          <w:bCs/>
          <w:kern w:val="0"/>
          <w:lang w:eastAsia="en-GB"/>
          <w14:ligatures w14:val="none"/>
        </w:rPr>
        <w:t xml:space="preserve"> Impact on Democracy and Electoral Integrity</w:t>
      </w:r>
    </w:p>
    <w:p w14:paraId="0356C200">
      <w:pPr>
        <w:spacing w:before="100" w:beforeAutospacing="1" w:after="100" w:afterAutospacing="1" w:line="360" w:lineRule="auto"/>
        <w:ind w:left="36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The consequences of electoral malpractices are far-reaching, affecting not only the election results but also the broader democratic process.</w:t>
      </w:r>
    </w:p>
    <w:p w14:paraId="152031E6">
      <w:pPr>
        <w:numPr>
          <w:ilvl w:val="0"/>
          <w:numId w:val="14"/>
        </w:numPr>
        <w:tabs>
          <w:tab w:val="left" w:pos="2520"/>
          <w:tab w:val="clear" w:pos="720"/>
        </w:tabs>
        <w:spacing w:before="100" w:beforeAutospacing="1" w:after="100" w:afterAutospacing="1" w:line="360" w:lineRule="auto"/>
        <w:ind w:left="108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b/>
          <w:bCs/>
          <w:kern w:val="0"/>
          <w:lang w:eastAsia="en-GB"/>
          <w14:ligatures w14:val="none"/>
        </w:rPr>
        <w:t>Undermining Public Trust</w:t>
      </w:r>
    </w:p>
    <w:p w14:paraId="16E1CB6D">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Electoral malpractices significantly damage the trust that citizens place in the electoral system. When voters perceive elections as unfair or manipulated, they are less likely to participate in future elections, resulting in reduced political engagement and voter turnout.</w:t>
      </w:r>
    </w:p>
    <w:p w14:paraId="319DCF24">
      <w:pPr>
        <w:numPr>
          <w:ilvl w:val="0"/>
          <w:numId w:val="15"/>
        </w:numPr>
        <w:tabs>
          <w:tab w:val="left" w:pos="2880"/>
          <w:tab w:val="clear" w:pos="720"/>
        </w:tabs>
        <w:spacing w:before="100" w:beforeAutospacing="1" w:after="100" w:afterAutospacing="1" w:line="360" w:lineRule="auto"/>
        <w:ind w:left="144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b/>
          <w:bCs/>
          <w:kern w:val="0"/>
          <w:lang w:eastAsia="en-GB"/>
          <w14:ligatures w14:val="none"/>
        </w:rPr>
        <w:t>Trust in Institutions</w:t>
      </w:r>
      <w:r>
        <w:rPr>
          <w:rFonts w:ascii="Times New Roman" w:hAnsi="Times New Roman" w:eastAsia="Times New Roman" w:cs="Times New Roman"/>
          <w:kern w:val="0"/>
          <w:lang w:eastAsia="en-GB"/>
          <w14:ligatures w14:val="none"/>
        </w:rPr>
        <w:t>: Trust in electoral institutions like the Election Commission of India is vital for maintaining democratic principles. Malpractices lead to perceptions of institutional failure</w:t>
      </w:r>
      <w:r>
        <w:rPr>
          <w:rStyle w:val="7"/>
          <w:rFonts w:ascii="Times New Roman" w:hAnsi="Times New Roman" w:eastAsia="Times New Roman" w:cs="Times New Roman"/>
          <w:kern w:val="0"/>
          <w:lang w:eastAsia="en-GB"/>
          <w14:ligatures w14:val="none"/>
        </w:rPr>
        <w:footnoteReference w:id="10"/>
      </w:r>
      <w:r>
        <w:rPr>
          <w:rFonts w:ascii="Times New Roman" w:hAnsi="Times New Roman" w:eastAsia="Times New Roman" w:cs="Times New Roman"/>
          <w:kern w:val="0"/>
          <w:lang w:eastAsia="en-GB"/>
          <w14:ligatures w14:val="none"/>
        </w:rPr>
        <w:t>.</w:t>
      </w:r>
    </w:p>
    <w:p w14:paraId="3D3F848C">
      <w:pPr>
        <w:numPr>
          <w:ilvl w:val="0"/>
          <w:numId w:val="16"/>
        </w:numPr>
        <w:tabs>
          <w:tab w:val="left" w:pos="2160"/>
        </w:tabs>
        <w:spacing w:before="100" w:beforeAutospacing="1" w:after="100" w:afterAutospacing="1" w:line="360" w:lineRule="auto"/>
        <w:ind w:left="144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b/>
          <w:bCs/>
          <w:kern w:val="0"/>
          <w:lang w:eastAsia="en-GB"/>
          <w14:ligatures w14:val="none"/>
        </w:rPr>
        <w:t>Effects on Governance Legitimacy</w:t>
      </w:r>
    </w:p>
    <w:p w14:paraId="766A35A3">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When an election result is compromised by malpractices, it undermines the legitimacy of the elected government. A government that emerges from a rigged or fraudulent election may struggle to implement policies effectively, as its authority is often questioned by citizens and opposition parties</w:t>
      </w:r>
      <w:r>
        <w:rPr>
          <w:rStyle w:val="7"/>
          <w:rFonts w:ascii="Times New Roman" w:hAnsi="Times New Roman" w:eastAsia="Times New Roman" w:cs="Times New Roman"/>
          <w:kern w:val="0"/>
          <w:lang w:eastAsia="en-GB"/>
          <w14:ligatures w14:val="none"/>
        </w:rPr>
        <w:footnoteReference w:id="11"/>
      </w:r>
      <w:r>
        <w:rPr>
          <w:rFonts w:ascii="Times New Roman" w:hAnsi="Times New Roman" w:eastAsia="Times New Roman" w:cs="Times New Roman"/>
          <w:kern w:val="0"/>
          <w:lang w:eastAsia="en-GB"/>
          <w14:ligatures w14:val="none"/>
        </w:rPr>
        <w:t>.</w:t>
      </w:r>
    </w:p>
    <w:p w14:paraId="69DBCC40">
      <w:pPr>
        <w:numPr>
          <w:ilvl w:val="0"/>
          <w:numId w:val="17"/>
        </w:numPr>
        <w:tabs>
          <w:tab w:val="left" w:pos="2160"/>
          <w:tab w:val="clear" w:pos="720"/>
        </w:tabs>
        <w:spacing w:before="100" w:beforeAutospacing="1" w:after="100" w:afterAutospacing="1" w:line="360" w:lineRule="auto"/>
        <w:ind w:left="144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b/>
          <w:bCs/>
          <w:kern w:val="0"/>
          <w:lang w:eastAsia="en-GB"/>
          <w14:ligatures w14:val="none"/>
        </w:rPr>
        <w:t>Political Instability</w:t>
      </w:r>
      <w:r>
        <w:rPr>
          <w:rFonts w:ascii="Times New Roman" w:hAnsi="Times New Roman" w:eastAsia="Times New Roman" w:cs="Times New Roman"/>
          <w:kern w:val="0"/>
          <w:lang w:eastAsia="en-GB"/>
          <w14:ligatures w14:val="none"/>
        </w:rPr>
        <w:t>: Malpractices can lead to protests, civil unrest, and challenges in governance, which can destabilize the political environment.</w:t>
      </w:r>
    </w:p>
    <w:p w14:paraId="31A39C13">
      <w:pPr>
        <w:pStyle w:val="14"/>
        <w:numPr>
          <w:ilvl w:val="0"/>
          <w:numId w:val="16"/>
        </w:numPr>
        <w:spacing w:before="100" w:beforeAutospacing="1" w:after="100" w:afterAutospacing="1" w:line="360" w:lineRule="auto"/>
        <w:jc w:val="both"/>
        <w:outlineLvl w:val="2"/>
        <w:rPr>
          <w:rFonts w:ascii="Times New Roman" w:hAnsi="Times New Roman" w:eastAsia="Times New Roman" w:cs="Times New Roman"/>
          <w:b/>
          <w:bCs/>
          <w:kern w:val="0"/>
          <w:lang w:eastAsia="en-GB"/>
          <w14:ligatures w14:val="none"/>
        </w:rPr>
      </w:pPr>
      <w:r>
        <w:rPr>
          <w:rFonts w:ascii="Times New Roman" w:hAnsi="Times New Roman" w:eastAsia="Times New Roman" w:cs="Times New Roman"/>
          <w:b/>
          <w:bCs/>
          <w:kern w:val="0"/>
          <w:lang w:eastAsia="en-GB"/>
          <w14:ligatures w14:val="none"/>
        </w:rPr>
        <w:t>LEGAL FRAMEWORK FOR ELECTORAL INTEGRITY IN INDIA</w:t>
      </w:r>
    </w:p>
    <w:p w14:paraId="17DFF1FA">
      <w:pPr>
        <w:spacing w:before="100" w:beforeAutospacing="1" w:after="100" w:afterAutospacing="1" w:line="360" w:lineRule="auto"/>
        <w:jc w:val="both"/>
        <w:outlineLvl w:val="3"/>
        <w:rPr>
          <w:rFonts w:ascii="Times New Roman" w:hAnsi="Times New Roman" w:eastAsia="Times New Roman" w:cs="Times New Roman"/>
          <w:b/>
          <w:bCs/>
          <w:kern w:val="0"/>
          <w:lang w:eastAsia="en-GB"/>
          <w14:ligatures w14:val="none"/>
        </w:rPr>
      </w:pPr>
      <w:r>
        <w:rPr>
          <w:rFonts w:ascii="Times New Roman" w:hAnsi="Times New Roman" w:eastAsia="Times New Roman" w:cs="Times New Roman"/>
          <w:b/>
          <w:bCs/>
          <w:kern w:val="0"/>
          <w:lang w:eastAsia="en-GB"/>
          <w14:ligatures w14:val="none"/>
        </w:rPr>
        <w:t>3.1. Key Legislations</w:t>
      </w:r>
    </w:p>
    <w:p w14:paraId="03B178D1">
      <w:pPr>
        <w:spacing w:before="100" w:beforeAutospacing="1" w:after="100" w:afterAutospacing="1" w:line="360" w:lineRule="auto"/>
        <w:ind w:left="36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 xml:space="preserve">India's electoral integrity is largely shaped by a combination of statutory laws that govern the conduct of elections, regulate electoral behavior, and penalize electoral malpractices. These laws create a strong legal framework for ensuring that elections are free, fair, and transparent. Two of the most significant pieces of legislation in this regard are the </w:t>
      </w:r>
      <w:r>
        <w:rPr>
          <w:rFonts w:ascii="Times New Roman" w:hAnsi="Times New Roman" w:eastAsia="Times New Roman" w:cs="Times New Roman"/>
          <w:b/>
          <w:bCs/>
          <w:kern w:val="0"/>
          <w:lang w:eastAsia="en-GB"/>
          <w14:ligatures w14:val="none"/>
        </w:rPr>
        <w:t>Representation of the People Act (RPA), 1951</w:t>
      </w:r>
      <w:r>
        <w:rPr>
          <w:rFonts w:ascii="Times New Roman" w:hAnsi="Times New Roman" w:eastAsia="Times New Roman" w:cs="Times New Roman"/>
          <w:kern w:val="0"/>
          <w:lang w:eastAsia="en-GB"/>
          <w14:ligatures w14:val="none"/>
        </w:rPr>
        <w:t xml:space="preserve">, and the </w:t>
      </w:r>
      <w:r>
        <w:rPr>
          <w:rFonts w:ascii="Times New Roman" w:hAnsi="Times New Roman" w:eastAsia="Times New Roman" w:cs="Times New Roman"/>
          <w:b/>
          <w:bCs/>
          <w:kern w:val="0"/>
          <w:lang w:eastAsia="en-GB"/>
          <w14:ligatures w14:val="none"/>
        </w:rPr>
        <w:t>Bharatiya Nyaya Sanhita (BNS)</w:t>
      </w:r>
      <w:r>
        <w:rPr>
          <w:rFonts w:ascii="Times New Roman" w:hAnsi="Times New Roman" w:eastAsia="Times New Roman" w:cs="Times New Roman"/>
          <w:kern w:val="0"/>
          <w:lang w:eastAsia="en-GB"/>
          <w14:ligatures w14:val="none"/>
        </w:rPr>
        <w:t>. Both of these laws play a crucial role in preventing electoral fraud and ensuring that elections are conducted with integrity.</w:t>
      </w:r>
    </w:p>
    <w:p w14:paraId="32AFAD28">
      <w:pPr>
        <w:numPr>
          <w:ilvl w:val="0"/>
          <w:numId w:val="18"/>
        </w:numPr>
        <w:spacing w:before="100" w:beforeAutospacing="1" w:after="100" w:afterAutospacing="1" w:line="360" w:lineRule="auto"/>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b/>
          <w:bCs/>
          <w:kern w:val="0"/>
          <w:lang w:eastAsia="en-GB"/>
          <w14:ligatures w14:val="none"/>
        </w:rPr>
        <w:t>Representation of the People Act (RPA), 1951</w:t>
      </w:r>
    </w:p>
    <w:p w14:paraId="5109FE67">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 xml:space="preserve">The </w:t>
      </w:r>
      <w:r>
        <w:rPr>
          <w:rFonts w:ascii="Times New Roman" w:hAnsi="Times New Roman" w:eastAsia="Times New Roman" w:cs="Times New Roman"/>
          <w:b/>
          <w:bCs/>
          <w:kern w:val="0"/>
          <w:lang w:eastAsia="en-GB"/>
          <w14:ligatures w14:val="none"/>
        </w:rPr>
        <w:t>Representation of the People Act, 1951</w:t>
      </w:r>
      <w:r>
        <w:rPr>
          <w:rFonts w:ascii="Times New Roman" w:hAnsi="Times New Roman" w:eastAsia="Times New Roman" w:cs="Times New Roman"/>
          <w:kern w:val="0"/>
          <w:lang w:eastAsia="en-GB"/>
          <w14:ligatures w14:val="none"/>
        </w:rPr>
        <w:t xml:space="preserve"> (RPA) is a comprehensive piece of legislation that governs the conduct of elections in India. This Act ensures that the electoral process is streamlined, and sets out the qualifications for voters and candidates, the process of nominating candidates, and the procedure for conducting elections. It is through the RPA that the central framework for elections to the Parliament, the state legislatures, and even the office of the President and Vice President is defined.</w:t>
      </w:r>
    </w:p>
    <w:p w14:paraId="6B570440">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 xml:space="preserve">One of the key features of the RPA is the treatment of offenses related to electoral malpractices. </w:t>
      </w:r>
      <w:r>
        <w:rPr>
          <w:rFonts w:ascii="Times New Roman" w:hAnsi="Times New Roman" w:eastAsia="Times New Roman" w:cs="Times New Roman"/>
          <w:b/>
          <w:bCs/>
          <w:kern w:val="0"/>
          <w:lang w:eastAsia="en-GB"/>
          <w14:ligatures w14:val="none"/>
        </w:rPr>
        <w:t>Section 171B of the RPA, 1951</w:t>
      </w:r>
      <w:r>
        <w:rPr>
          <w:rFonts w:ascii="Times New Roman" w:hAnsi="Times New Roman" w:eastAsia="Times New Roman" w:cs="Times New Roman"/>
          <w:kern w:val="0"/>
          <w:lang w:eastAsia="en-GB"/>
          <w14:ligatures w14:val="none"/>
        </w:rPr>
        <w:t xml:space="preserve"> specifically addresses the crime of bribery. It criminalizes the act of offering or accepting money or gifts in exchange for a vote</w:t>
      </w:r>
      <w:r>
        <w:rPr>
          <w:rStyle w:val="7"/>
          <w:rFonts w:ascii="Times New Roman" w:hAnsi="Times New Roman" w:eastAsia="Times New Roman" w:cs="Times New Roman"/>
          <w:kern w:val="0"/>
          <w:lang w:eastAsia="en-GB"/>
          <w14:ligatures w14:val="none"/>
        </w:rPr>
        <w:footnoteReference w:id="12"/>
      </w:r>
      <w:r>
        <w:rPr>
          <w:rFonts w:ascii="Times New Roman" w:hAnsi="Times New Roman" w:eastAsia="Times New Roman" w:cs="Times New Roman"/>
          <w:kern w:val="0"/>
          <w:lang w:eastAsia="en-GB"/>
          <w14:ligatures w14:val="none"/>
        </w:rPr>
        <w:t>. Such an offense undermines the democratic principle of free and fair elections by attempting to buy votes and influence voter behavior. The penalties for bribery include imprisonment and/or fines, which serve as a deterrent to individuals or parties seeking to manipulate elections through such means.</w:t>
      </w:r>
    </w:p>
    <w:p w14:paraId="7040A370">
      <w:pPr>
        <w:numPr>
          <w:ilvl w:val="0"/>
          <w:numId w:val="19"/>
        </w:numPr>
        <w:spacing w:before="100" w:beforeAutospacing="1" w:after="100" w:afterAutospacing="1" w:line="360" w:lineRule="auto"/>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b/>
          <w:bCs/>
          <w:kern w:val="0"/>
          <w:lang w:eastAsia="en-GB"/>
          <w14:ligatures w14:val="none"/>
        </w:rPr>
        <w:t>Bharatiya Nyaya Sanhita (BNS)</w:t>
      </w:r>
    </w:p>
    <w:p w14:paraId="709D2A37">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 xml:space="preserve">In addition to the RPA, the </w:t>
      </w:r>
      <w:r>
        <w:rPr>
          <w:rFonts w:ascii="Times New Roman" w:hAnsi="Times New Roman" w:eastAsia="Times New Roman" w:cs="Times New Roman"/>
          <w:b/>
          <w:bCs/>
          <w:kern w:val="0"/>
          <w:lang w:eastAsia="en-GB"/>
          <w14:ligatures w14:val="none"/>
        </w:rPr>
        <w:t>BNS</w:t>
      </w:r>
      <w:r>
        <w:rPr>
          <w:rFonts w:ascii="Times New Roman" w:hAnsi="Times New Roman" w:eastAsia="Times New Roman" w:cs="Times New Roman"/>
          <w:kern w:val="0"/>
          <w:lang w:eastAsia="en-GB"/>
          <w14:ligatures w14:val="none"/>
        </w:rPr>
        <w:t xml:space="preserve"> also provides for the punishment of various electoral offenses. The BNS includes provisions that criminalize practices such as impersonation, fraudulent voting, and the destruction of election materials. The BNS is particularly significant in situations where electoral fraud occurs outside the direct framework of election law but still threatens the integrity of the electoral process</w:t>
      </w:r>
      <w:r>
        <w:rPr>
          <w:rStyle w:val="7"/>
          <w:rFonts w:ascii="Times New Roman" w:hAnsi="Times New Roman" w:eastAsia="Times New Roman" w:cs="Times New Roman"/>
          <w:kern w:val="0"/>
          <w:lang w:eastAsia="en-GB"/>
          <w14:ligatures w14:val="none"/>
        </w:rPr>
        <w:footnoteReference w:id="13"/>
      </w:r>
      <w:r>
        <w:rPr>
          <w:rFonts w:ascii="Times New Roman" w:hAnsi="Times New Roman" w:eastAsia="Times New Roman" w:cs="Times New Roman"/>
          <w:kern w:val="0"/>
          <w:lang w:eastAsia="en-GB"/>
          <w14:ligatures w14:val="none"/>
        </w:rPr>
        <w:t>.</w:t>
      </w:r>
    </w:p>
    <w:p w14:paraId="2E9AC1B5">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 xml:space="preserve">For instance, </w:t>
      </w:r>
      <w:r>
        <w:rPr>
          <w:rFonts w:ascii="Times New Roman" w:hAnsi="Times New Roman" w:eastAsia="Times New Roman" w:cs="Times New Roman"/>
          <w:b/>
          <w:bCs/>
          <w:kern w:val="0"/>
          <w:lang w:eastAsia="en-GB"/>
          <w14:ligatures w14:val="none"/>
        </w:rPr>
        <w:t>Section 171</w:t>
      </w:r>
      <w:r>
        <w:rPr>
          <w:rFonts w:ascii="Times New Roman" w:hAnsi="Times New Roman" w:eastAsia="Times New Roman" w:cs="Times New Roman"/>
          <w:kern w:val="0"/>
          <w:lang w:eastAsia="en-GB"/>
          <w14:ligatures w14:val="none"/>
        </w:rPr>
        <w:t xml:space="preserve"> of the BNS specifically targets voter impersonation, where a person casts a vote on behalf of someone else without their consent. This practice not only violates the individual's right to vote but also undermines the authenticity of the election outcome. Such offenses are punishable by imprisonment, which sends a strong message about the severity of fraudulent activities in the electoral process.</w:t>
      </w:r>
    </w:p>
    <w:p w14:paraId="315013A1">
      <w:pPr>
        <w:spacing w:before="100" w:beforeAutospacing="1" w:after="100" w:afterAutospacing="1" w:line="360" w:lineRule="auto"/>
        <w:jc w:val="both"/>
        <w:outlineLvl w:val="3"/>
        <w:rPr>
          <w:rFonts w:ascii="Times New Roman" w:hAnsi="Times New Roman" w:eastAsia="Times New Roman" w:cs="Times New Roman"/>
          <w:b/>
          <w:bCs/>
          <w:kern w:val="0"/>
          <w:lang w:eastAsia="en-GB"/>
          <w14:ligatures w14:val="none"/>
        </w:rPr>
      </w:pPr>
      <w:r>
        <w:rPr>
          <w:rFonts w:ascii="Times New Roman" w:hAnsi="Times New Roman" w:eastAsia="Times New Roman" w:cs="Times New Roman"/>
          <w:b/>
          <w:bCs/>
          <w:kern w:val="0"/>
          <w:lang w:eastAsia="en-GB"/>
          <w14:ligatures w14:val="none"/>
        </w:rPr>
        <w:t>3.2. Role of Regulatory Bodies</w:t>
      </w:r>
    </w:p>
    <w:p w14:paraId="7CEFB2C8">
      <w:pPr>
        <w:numPr>
          <w:ilvl w:val="0"/>
          <w:numId w:val="20"/>
        </w:numPr>
        <w:spacing w:before="100" w:beforeAutospacing="1" w:after="100" w:afterAutospacing="1" w:line="360" w:lineRule="auto"/>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b/>
          <w:bCs/>
          <w:kern w:val="0"/>
          <w:lang w:eastAsia="en-GB"/>
          <w14:ligatures w14:val="none"/>
        </w:rPr>
        <w:t>Election Commission of India (ECI)</w:t>
      </w:r>
    </w:p>
    <w:p w14:paraId="6B7F0CEF">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 xml:space="preserve">The </w:t>
      </w:r>
      <w:r>
        <w:rPr>
          <w:rFonts w:ascii="Times New Roman" w:hAnsi="Times New Roman" w:eastAsia="Times New Roman" w:cs="Times New Roman"/>
          <w:b/>
          <w:bCs/>
          <w:kern w:val="0"/>
          <w:lang w:eastAsia="en-GB"/>
          <w14:ligatures w14:val="none"/>
        </w:rPr>
        <w:t>Election Commission of India (ECI)</w:t>
      </w:r>
      <w:r>
        <w:rPr>
          <w:rFonts w:ascii="Times New Roman" w:hAnsi="Times New Roman" w:eastAsia="Times New Roman" w:cs="Times New Roman"/>
          <w:kern w:val="0"/>
          <w:lang w:eastAsia="en-GB"/>
          <w14:ligatures w14:val="none"/>
        </w:rPr>
        <w:t xml:space="preserve"> plays a critical role in safeguarding the integrity of elections in India. Established under </w:t>
      </w:r>
      <w:r>
        <w:rPr>
          <w:rFonts w:ascii="Times New Roman" w:hAnsi="Times New Roman" w:eastAsia="Times New Roman" w:cs="Times New Roman"/>
          <w:b/>
          <w:bCs/>
          <w:kern w:val="0"/>
          <w:lang w:eastAsia="en-GB"/>
          <w14:ligatures w14:val="none"/>
        </w:rPr>
        <w:t>Article 324</w:t>
      </w:r>
      <w:r>
        <w:rPr>
          <w:rFonts w:ascii="Times New Roman" w:hAnsi="Times New Roman" w:eastAsia="Times New Roman" w:cs="Times New Roman"/>
          <w:kern w:val="0"/>
          <w:lang w:eastAsia="en-GB"/>
          <w14:ligatures w14:val="none"/>
        </w:rPr>
        <w:t xml:space="preserve"> of the Indian Constitution, the ECI is vested with the responsibility of ensuring that elections are conducted in a fair and transparent manner. The Commission is an independent body that operates autonomously from the executive, which allows it to maintain neutrality and impartiality during the election process.</w:t>
      </w:r>
    </w:p>
    <w:p w14:paraId="3C47344E">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 xml:space="preserve">The ECI's mandate includes overseeing the entire election process, from the preparation of electoral rolls to the final declaration of results. It ensures that candidates and political parties adhere to legal standards set forth in the </w:t>
      </w:r>
      <w:r>
        <w:rPr>
          <w:rFonts w:ascii="Times New Roman" w:hAnsi="Times New Roman" w:eastAsia="Times New Roman" w:cs="Times New Roman"/>
          <w:b/>
          <w:bCs/>
          <w:kern w:val="0"/>
          <w:lang w:eastAsia="en-GB"/>
          <w14:ligatures w14:val="none"/>
        </w:rPr>
        <w:t>Representation of the People Act, 1951</w:t>
      </w:r>
      <w:r>
        <w:rPr>
          <w:rFonts w:ascii="Times New Roman" w:hAnsi="Times New Roman" w:eastAsia="Times New Roman" w:cs="Times New Roman"/>
          <w:kern w:val="0"/>
          <w:lang w:eastAsia="en-GB"/>
          <w14:ligatures w14:val="none"/>
        </w:rPr>
        <w:t xml:space="preserve">, and the </w:t>
      </w:r>
      <w:r>
        <w:rPr>
          <w:rFonts w:ascii="Times New Roman" w:hAnsi="Times New Roman" w:eastAsia="Times New Roman" w:cs="Times New Roman"/>
          <w:b/>
          <w:bCs/>
          <w:kern w:val="0"/>
          <w:lang w:eastAsia="en-GB"/>
          <w14:ligatures w14:val="none"/>
        </w:rPr>
        <w:t>Bharatiya Nyaya Sanhita</w:t>
      </w:r>
      <w:r>
        <w:rPr>
          <w:rFonts w:ascii="Times New Roman" w:hAnsi="Times New Roman" w:eastAsia="Times New Roman" w:cs="Times New Roman"/>
          <w:kern w:val="0"/>
          <w:lang w:eastAsia="en-GB"/>
          <w14:ligatures w14:val="none"/>
        </w:rPr>
        <w:t>. Additionally, the Election Commission has the power to investigate and act on electoral offenses, such as bribery or vote tampering, and can disqualify candidates found guilty of violating electoral laws.</w:t>
      </w:r>
    </w:p>
    <w:p w14:paraId="6039B7E6">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The Commission also issues guidelines to ensure that elections are conducted in a transparent manner, and it monitors the expenditure of political parties to prevent corruption and undue influence during campaigns</w:t>
      </w:r>
      <w:r>
        <w:rPr>
          <w:rStyle w:val="7"/>
          <w:rFonts w:ascii="Times New Roman" w:hAnsi="Times New Roman" w:eastAsia="Times New Roman" w:cs="Times New Roman"/>
          <w:kern w:val="0"/>
          <w:lang w:eastAsia="en-GB"/>
          <w14:ligatures w14:val="none"/>
        </w:rPr>
        <w:footnoteReference w:id="14"/>
      </w:r>
      <w:r>
        <w:rPr>
          <w:rFonts w:ascii="Times New Roman" w:hAnsi="Times New Roman" w:eastAsia="Times New Roman" w:cs="Times New Roman"/>
          <w:kern w:val="0"/>
          <w:lang w:eastAsia="en-GB"/>
          <w14:ligatures w14:val="none"/>
        </w:rPr>
        <w:t xml:space="preserve">. The </w:t>
      </w:r>
      <w:r>
        <w:rPr>
          <w:rFonts w:ascii="Times New Roman" w:hAnsi="Times New Roman" w:eastAsia="Times New Roman" w:cs="Times New Roman"/>
          <w:b/>
          <w:bCs/>
          <w:kern w:val="0"/>
          <w:lang w:eastAsia="en-GB"/>
          <w14:ligatures w14:val="none"/>
        </w:rPr>
        <w:t>Model Code of Conduct (MCC)</w:t>
      </w:r>
      <w:r>
        <w:rPr>
          <w:rFonts w:ascii="Times New Roman" w:hAnsi="Times New Roman" w:eastAsia="Times New Roman" w:cs="Times New Roman"/>
          <w:kern w:val="0"/>
          <w:lang w:eastAsia="en-GB"/>
          <w14:ligatures w14:val="none"/>
        </w:rPr>
        <w:t>, which is issued by the ECI, serves as an additional safeguard to ensure that political parties conduct themselves ethically and do not indulge in activities that compromise electoral fairness.</w:t>
      </w:r>
    </w:p>
    <w:p w14:paraId="5A62551B">
      <w:pPr>
        <w:pStyle w:val="14"/>
        <w:numPr>
          <w:ilvl w:val="0"/>
          <w:numId w:val="20"/>
        </w:numPr>
        <w:spacing w:before="100" w:beforeAutospacing="1" w:after="100" w:afterAutospacing="1" w:line="360" w:lineRule="auto"/>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b/>
          <w:bCs/>
          <w:kern w:val="0"/>
          <w:lang w:eastAsia="en-GB"/>
          <w14:ligatures w14:val="none"/>
        </w:rPr>
        <w:t>Model Code of Conduct (MCC)</w:t>
      </w:r>
    </w:p>
    <w:p w14:paraId="48442DDF">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 xml:space="preserve">While not a law, the </w:t>
      </w:r>
      <w:r>
        <w:rPr>
          <w:rFonts w:ascii="Times New Roman" w:hAnsi="Times New Roman" w:eastAsia="Times New Roman" w:cs="Times New Roman"/>
          <w:b/>
          <w:bCs/>
          <w:kern w:val="0"/>
          <w:lang w:eastAsia="en-GB"/>
          <w14:ligatures w14:val="none"/>
        </w:rPr>
        <w:t>Model Code of Conduct (MCC)</w:t>
      </w:r>
      <w:r>
        <w:rPr>
          <w:rFonts w:ascii="Times New Roman" w:hAnsi="Times New Roman" w:eastAsia="Times New Roman" w:cs="Times New Roman"/>
          <w:kern w:val="0"/>
          <w:lang w:eastAsia="en-GB"/>
          <w14:ligatures w14:val="none"/>
        </w:rPr>
        <w:t xml:space="preserve"> is a set of voluntary guidelines issued by the Election Commission to regulate the behavior of political parties during election campaigns</w:t>
      </w:r>
      <w:r>
        <w:rPr>
          <w:rStyle w:val="7"/>
          <w:rFonts w:ascii="Times New Roman" w:hAnsi="Times New Roman" w:eastAsia="Times New Roman" w:cs="Times New Roman"/>
          <w:kern w:val="0"/>
          <w:lang w:eastAsia="en-GB"/>
          <w14:ligatures w14:val="none"/>
        </w:rPr>
        <w:footnoteReference w:id="15"/>
      </w:r>
      <w:r>
        <w:rPr>
          <w:rFonts w:ascii="Times New Roman" w:hAnsi="Times New Roman" w:eastAsia="Times New Roman" w:cs="Times New Roman"/>
          <w:kern w:val="0"/>
          <w:lang w:eastAsia="en-GB"/>
          <w14:ligatures w14:val="none"/>
        </w:rPr>
        <w:t>. The MCC is aimed at ensuring that elections are contested in a free, fair, and ethical manner. The guidelines cover a wide range of electoral practices, including the use of government resources for electioneering, the conduct of political rallies, and the dissemination of campaign materials.</w:t>
      </w:r>
    </w:p>
    <w:p w14:paraId="6B969F66">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For instance, the MCC prohibits political parties from making use of religion, caste, or communalism to influence voters. It also forbids the use of public funds, government vehicles, or government employees for campaigning purposes, ensuring that no party has an unfair advantage over others in terms of resources. The MCC serves as a vital tool for maintaining a level playing field during elections and curbing electoral malpractices like vote-buying, exploitation of state machinery, and the manipulation of public sentiment.</w:t>
      </w:r>
    </w:p>
    <w:p w14:paraId="4BBF5A07">
      <w:pPr>
        <w:pStyle w:val="14"/>
        <w:numPr>
          <w:ilvl w:val="0"/>
          <w:numId w:val="16"/>
        </w:numPr>
        <w:spacing w:before="100" w:beforeAutospacing="1" w:after="100" w:afterAutospacing="1" w:line="360" w:lineRule="auto"/>
        <w:jc w:val="both"/>
        <w:outlineLvl w:val="2"/>
        <w:rPr>
          <w:rFonts w:ascii="Times New Roman" w:hAnsi="Times New Roman" w:eastAsia="Times New Roman" w:cs="Times New Roman"/>
          <w:b/>
          <w:bCs/>
          <w:kern w:val="0"/>
          <w:lang w:eastAsia="en-GB"/>
          <w14:ligatures w14:val="none"/>
        </w:rPr>
      </w:pPr>
      <w:r>
        <w:rPr>
          <w:rFonts w:ascii="Times New Roman" w:hAnsi="Times New Roman" w:eastAsia="Times New Roman" w:cs="Times New Roman"/>
          <w:b/>
          <w:bCs/>
          <w:kern w:val="0"/>
          <w:lang w:eastAsia="en-GB"/>
          <w14:ligatures w14:val="none"/>
        </w:rPr>
        <w:t>ENFORCEMENT CHALLENGES AND JUDICIAL BOTTLENECKS</w:t>
      </w:r>
    </w:p>
    <w:p w14:paraId="2B41749F">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Despite the presence of robust electoral laws and regulatory frameworks, the enforcement of electoral integrity in India faces significant challenges. These challenges stem from delays in the judicial process, resource and logistical constraints, political influence, and low levels of public awareness. Each of these issues hinders the timely and effective enforcement of electoral laws and ensures that electoral malpractices often go unpunished or inadequately addressed</w:t>
      </w:r>
      <w:r>
        <w:rPr>
          <w:rStyle w:val="7"/>
          <w:rFonts w:ascii="Times New Roman" w:hAnsi="Times New Roman" w:eastAsia="Times New Roman" w:cs="Times New Roman"/>
          <w:kern w:val="0"/>
          <w:lang w:eastAsia="en-GB"/>
          <w14:ligatures w14:val="none"/>
        </w:rPr>
        <w:footnoteReference w:id="16"/>
      </w:r>
      <w:r>
        <w:rPr>
          <w:rFonts w:ascii="Times New Roman" w:hAnsi="Times New Roman" w:eastAsia="Times New Roman" w:cs="Times New Roman"/>
          <w:kern w:val="0"/>
          <w:lang w:eastAsia="en-GB"/>
          <w14:ligatures w14:val="none"/>
        </w:rPr>
        <w:t>.</w:t>
      </w:r>
    </w:p>
    <w:p w14:paraId="5CEEFAAA">
      <w:pPr>
        <w:spacing w:before="100" w:beforeAutospacing="1" w:after="100" w:afterAutospacing="1" w:line="360" w:lineRule="auto"/>
        <w:jc w:val="both"/>
        <w:outlineLvl w:val="3"/>
        <w:rPr>
          <w:rFonts w:ascii="Times New Roman" w:hAnsi="Times New Roman" w:eastAsia="Times New Roman" w:cs="Times New Roman"/>
          <w:b/>
          <w:bCs/>
          <w:kern w:val="0"/>
          <w:lang w:eastAsia="en-GB"/>
          <w14:ligatures w14:val="none"/>
        </w:rPr>
      </w:pPr>
      <w:r>
        <w:rPr>
          <w:rFonts w:ascii="Times New Roman" w:hAnsi="Times New Roman" w:eastAsia="Times New Roman" w:cs="Times New Roman"/>
          <w:b/>
          <w:bCs/>
          <w:kern w:val="0"/>
          <w:lang w:eastAsia="en-GB"/>
          <w14:ligatures w14:val="none"/>
        </w:rPr>
        <w:t>4.1 Judicial Delays</w:t>
      </w:r>
    </w:p>
    <w:p w14:paraId="0F47D460">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 xml:space="preserve">One of the primary challenges to the enforcement of electoral laws is the persistent issue of </w:t>
      </w:r>
      <w:r>
        <w:rPr>
          <w:rFonts w:ascii="Times New Roman" w:hAnsi="Times New Roman" w:eastAsia="Times New Roman" w:cs="Times New Roman"/>
          <w:b/>
          <w:bCs/>
          <w:kern w:val="0"/>
          <w:lang w:eastAsia="en-GB"/>
          <w14:ligatures w14:val="none"/>
        </w:rPr>
        <w:t>judicial delays</w:t>
      </w:r>
      <w:r>
        <w:rPr>
          <w:rFonts w:ascii="Times New Roman" w:hAnsi="Times New Roman" w:eastAsia="Times New Roman" w:cs="Times New Roman"/>
          <w:kern w:val="0"/>
          <w:lang w:eastAsia="en-GB"/>
          <w14:ligatures w14:val="none"/>
        </w:rPr>
        <w:t>. The Indian judiciary, although highly regarded, is plagued by significant case backlogs, resulting in slow decision-making, particularly in cases related to electoral malpractices. Many election-related disputes, such as those regarding the validity of elections, voter fraud, and allegations of malpractices, can take years to resolve. This delay in the judicial process undermines the deterrent effect of electoral laws, as offenders are not punished promptly, allowing them to avoid consequences and possibly repeat offenses in subsequent elections</w:t>
      </w:r>
      <w:r>
        <w:rPr>
          <w:rStyle w:val="7"/>
          <w:rFonts w:ascii="Times New Roman" w:hAnsi="Times New Roman" w:eastAsia="Times New Roman" w:cs="Times New Roman"/>
          <w:kern w:val="0"/>
          <w:lang w:eastAsia="en-GB"/>
          <w14:ligatures w14:val="none"/>
        </w:rPr>
        <w:footnoteReference w:id="17"/>
      </w:r>
      <w:r>
        <w:rPr>
          <w:rFonts w:ascii="Times New Roman" w:hAnsi="Times New Roman" w:eastAsia="Times New Roman" w:cs="Times New Roman"/>
          <w:kern w:val="0"/>
          <w:lang w:eastAsia="en-GB"/>
          <w14:ligatures w14:val="none"/>
        </w:rPr>
        <w:t>.</w:t>
      </w:r>
    </w:p>
    <w:p w14:paraId="0C6FBE8B">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For instance, challenges to the conduct of elections or disputes over candidates' eligibility are often delayed due to the sheer volume of cases pending in the courts. In the absence of fast-tracked procedures or specialized courts to handle such matters, these cases get prolonged, affecting the public perception of the judicial system’s role in electoral integrity. Delays also undermine public confidence in the legal mechanisms available to address electoral offenses</w:t>
      </w:r>
      <w:r>
        <w:rPr>
          <w:rStyle w:val="7"/>
          <w:rFonts w:ascii="Times New Roman" w:hAnsi="Times New Roman" w:eastAsia="Times New Roman" w:cs="Times New Roman"/>
          <w:kern w:val="0"/>
          <w:lang w:eastAsia="en-GB"/>
          <w14:ligatures w14:val="none"/>
        </w:rPr>
        <w:footnoteReference w:id="18"/>
      </w:r>
      <w:r>
        <w:rPr>
          <w:rFonts w:ascii="Times New Roman" w:hAnsi="Times New Roman" w:eastAsia="Times New Roman" w:cs="Times New Roman"/>
          <w:kern w:val="0"/>
          <w:lang w:eastAsia="en-GB"/>
          <w14:ligatures w14:val="none"/>
        </w:rPr>
        <w:t>.</w:t>
      </w:r>
    </w:p>
    <w:p w14:paraId="321DFD1E">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Judicial delays in election-related matters significantly undermine the deterrent effects of electoral laws, as offenders can evade timely punishment</w:t>
      </w:r>
      <w:r>
        <w:rPr>
          <w:rStyle w:val="7"/>
          <w:rFonts w:ascii="Times New Roman" w:hAnsi="Times New Roman" w:eastAsia="Times New Roman" w:cs="Times New Roman"/>
          <w:kern w:val="0"/>
          <w:lang w:eastAsia="en-GB"/>
          <w14:ligatures w14:val="none"/>
        </w:rPr>
        <w:footnoteReference w:id="19"/>
      </w:r>
      <w:r>
        <w:rPr>
          <w:rFonts w:ascii="Times New Roman" w:hAnsi="Times New Roman" w:eastAsia="Times New Roman" w:cs="Times New Roman"/>
          <w:kern w:val="0"/>
          <w:lang w:eastAsia="en-GB"/>
          <w14:ligatures w14:val="none"/>
        </w:rPr>
        <w:t>.</w:t>
      </w:r>
    </w:p>
    <w:p w14:paraId="3E9B5459">
      <w:pPr>
        <w:spacing w:before="100" w:beforeAutospacing="1" w:after="100" w:afterAutospacing="1" w:line="360" w:lineRule="auto"/>
        <w:jc w:val="both"/>
        <w:outlineLvl w:val="3"/>
        <w:rPr>
          <w:rFonts w:ascii="Times New Roman" w:hAnsi="Times New Roman" w:eastAsia="Times New Roman" w:cs="Times New Roman"/>
          <w:b/>
          <w:bCs/>
          <w:kern w:val="0"/>
          <w:lang w:eastAsia="en-GB"/>
          <w14:ligatures w14:val="none"/>
        </w:rPr>
      </w:pPr>
      <w:r>
        <w:rPr>
          <w:rFonts w:ascii="Times New Roman" w:hAnsi="Times New Roman" w:eastAsia="Times New Roman" w:cs="Times New Roman"/>
          <w:b/>
          <w:bCs/>
          <w:kern w:val="0"/>
          <w:lang w:eastAsia="en-GB"/>
          <w14:ligatures w14:val="none"/>
        </w:rPr>
        <w:t>4.2 Resource and Logistical Constraints</w:t>
      </w:r>
    </w:p>
    <w:p w14:paraId="626EAEA2">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 xml:space="preserve">Another major challenge in ensuring electoral integrity is the </w:t>
      </w:r>
      <w:r>
        <w:rPr>
          <w:rFonts w:ascii="Times New Roman" w:hAnsi="Times New Roman" w:eastAsia="Times New Roman" w:cs="Times New Roman"/>
          <w:b/>
          <w:bCs/>
          <w:kern w:val="0"/>
          <w:lang w:eastAsia="en-GB"/>
          <w14:ligatures w14:val="none"/>
        </w:rPr>
        <w:t>lack of resources and logistical constraints</w:t>
      </w:r>
      <w:r>
        <w:rPr>
          <w:rFonts w:ascii="Times New Roman" w:hAnsi="Times New Roman" w:eastAsia="Times New Roman" w:cs="Times New Roman"/>
          <w:kern w:val="0"/>
          <w:lang w:eastAsia="en-GB"/>
          <w14:ligatures w14:val="none"/>
        </w:rPr>
        <w:t xml:space="preserve"> faced by the Election Commission of India (ECI) and law enforcement agencies. Conducting elections across a vast and diverse country like India requires immense resources, both human and financial. The ECI, despite its constitutional autonomy, often faces resource limitations in terms of staffing, funding, and technology. This shortage can lead to difficulties in monitoring election activities effectively, ensuring that electoral laws are being followed, and addressing complaints in a timely manner</w:t>
      </w:r>
      <w:r>
        <w:rPr>
          <w:rStyle w:val="7"/>
          <w:rFonts w:ascii="Times New Roman" w:hAnsi="Times New Roman" w:eastAsia="Times New Roman" w:cs="Times New Roman"/>
          <w:kern w:val="0"/>
          <w:lang w:eastAsia="en-GB"/>
          <w14:ligatures w14:val="none"/>
        </w:rPr>
        <w:footnoteReference w:id="20"/>
      </w:r>
      <w:r>
        <w:rPr>
          <w:rFonts w:ascii="Times New Roman" w:hAnsi="Times New Roman" w:eastAsia="Times New Roman" w:cs="Times New Roman"/>
          <w:kern w:val="0"/>
          <w:lang w:eastAsia="en-GB"/>
          <w14:ligatures w14:val="none"/>
        </w:rPr>
        <w:t>.</w:t>
      </w:r>
    </w:p>
    <w:p w14:paraId="7FA00090">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For instance, during elections, the ECI struggles with overseeing the vast number of polling booths and election officers spread across the country. The sheer scale of electoral fraud in some regions—ranging from booth capturing to voter suppression—becomes difficult to track and rectify due to limited surveillance capacity. Similarly, logistical issues such as the transportation and security of voting materials and personnel can complicate the enforcement of electoral laws</w:t>
      </w:r>
      <w:r>
        <w:rPr>
          <w:rStyle w:val="7"/>
          <w:rFonts w:ascii="Times New Roman" w:hAnsi="Times New Roman" w:eastAsia="Times New Roman" w:cs="Times New Roman"/>
          <w:kern w:val="0"/>
          <w:lang w:eastAsia="en-GB"/>
          <w14:ligatures w14:val="none"/>
        </w:rPr>
        <w:footnoteReference w:id="21"/>
      </w:r>
      <w:r>
        <w:rPr>
          <w:rFonts w:ascii="Times New Roman" w:hAnsi="Times New Roman" w:eastAsia="Times New Roman" w:cs="Times New Roman"/>
          <w:kern w:val="0"/>
          <w:lang w:eastAsia="en-GB"/>
          <w14:ligatures w14:val="none"/>
        </w:rPr>
        <w:t>.</w:t>
      </w:r>
    </w:p>
    <w:p w14:paraId="35CF4D61">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Resource and logistical constraints faced by the Election Commission limit its ability to ensure strict enforcement of electoral integrity, particularly in remote and resource-poor regions</w:t>
      </w:r>
      <w:r>
        <w:rPr>
          <w:rStyle w:val="7"/>
          <w:rFonts w:ascii="Times New Roman" w:hAnsi="Times New Roman" w:eastAsia="Times New Roman" w:cs="Times New Roman"/>
          <w:kern w:val="0"/>
          <w:lang w:eastAsia="en-GB"/>
          <w14:ligatures w14:val="none"/>
        </w:rPr>
        <w:footnoteReference w:id="22"/>
      </w:r>
      <w:r>
        <w:rPr>
          <w:rFonts w:ascii="Times New Roman" w:hAnsi="Times New Roman" w:eastAsia="Times New Roman" w:cs="Times New Roman"/>
          <w:kern w:val="0"/>
          <w:lang w:eastAsia="en-GB"/>
          <w14:ligatures w14:val="none"/>
        </w:rPr>
        <w:t>.</w:t>
      </w:r>
    </w:p>
    <w:p w14:paraId="4F93A1A5">
      <w:pPr>
        <w:spacing w:before="100" w:beforeAutospacing="1" w:after="100" w:afterAutospacing="1" w:line="360" w:lineRule="auto"/>
        <w:jc w:val="both"/>
        <w:outlineLvl w:val="3"/>
        <w:rPr>
          <w:rFonts w:ascii="Times New Roman" w:hAnsi="Times New Roman" w:eastAsia="Times New Roman" w:cs="Times New Roman"/>
          <w:b/>
          <w:bCs/>
          <w:kern w:val="0"/>
          <w:lang w:eastAsia="en-GB"/>
          <w14:ligatures w14:val="none"/>
        </w:rPr>
      </w:pPr>
      <w:r>
        <w:rPr>
          <w:rFonts w:ascii="Times New Roman" w:hAnsi="Times New Roman" w:eastAsia="Times New Roman" w:cs="Times New Roman"/>
          <w:b/>
          <w:bCs/>
          <w:kern w:val="0"/>
          <w:lang w:eastAsia="en-GB"/>
          <w14:ligatures w14:val="none"/>
        </w:rPr>
        <w:t>4.3 Political Influence and Local Pressures</w:t>
      </w:r>
    </w:p>
    <w:p w14:paraId="3D3A5D59">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b/>
          <w:bCs/>
          <w:kern w:val="0"/>
          <w:lang w:eastAsia="en-GB"/>
          <w14:ligatures w14:val="none"/>
        </w:rPr>
        <w:t>Political influence and local pressures</w:t>
      </w:r>
      <w:r>
        <w:rPr>
          <w:rFonts w:ascii="Times New Roman" w:hAnsi="Times New Roman" w:eastAsia="Times New Roman" w:cs="Times New Roman"/>
          <w:kern w:val="0"/>
          <w:lang w:eastAsia="en-GB"/>
          <w14:ligatures w14:val="none"/>
        </w:rPr>
        <w:t xml:space="preserve"> are pervasive problems that hinder the enforcement of electoral laws in India. Political parties and candidates often have significant influence over local officials and law enforcement agencies. This influence can manifest in various forms, such as pressure to turn a blind eye to electoral malpractices like bribery, vote buying, or voter suppression, especially in states with high levels of political polarization. Local authorities may be reluctant to take action against political figures who are part of the ruling party or those who wield significant political power, as this could affect their careers or their party’s political fortunes</w:t>
      </w:r>
      <w:r>
        <w:rPr>
          <w:rStyle w:val="7"/>
          <w:rFonts w:ascii="Times New Roman" w:hAnsi="Times New Roman" w:eastAsia="Times New Roman" w:cs="Times New Roman"/>
          <w:kern w:val="0"/>
          <w:lang w:eastAsia="en-GB"/>
          <w14:ligatures w14:val="none"/>
        </w:rPr>
        <w:footnoteReference w:id="23"/>
      </w:r>
      <w:r>
        <w:rPr>
          <w:rFonts w:ascii="Times New Roman" w:hAnsi="Times New Roman" w:eastAsia="Times New Roman" w:cs="Times New Roman"/>
          <w:kern w:val="0"/>
          <w:lang w:eastAsia="en-GB"/>
          <w14:ligatures w14:val="none"/>
        </w:rPr>
        <w:t>.</w:t>
      </w:r>
    </w:p>
    <w:p w14:paraId="70B8116D">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The problem is further compounded by the fact that election-related offenses, such as violence at polling booths or intimidation of voters, often occur in rural and remote areas where the central government or election commission has limited oversight. In such cases, local political forces may control the flow of information and even influence the judicial response, leading to weak enforcement of electoral integrity laws</w:t>
      </w:r>
      <w:r>
        <w:rPr>
          <w:rStyle w:val="7"/>
          <w:rFonts w:ascii="Times New Roman" w:hAnsi="Times New Roman" w:eastAsia="Times New Roman" w:cs="Times New Roman"/>
          <w:kern w:val="0"/>
          <w:lang w:eastAsia="en-GB"/>
          <w14:ligatures w14:val="none"/>
        </w:rPr>
        <w:footnoteReference w:id="24"/>
      </w:r>
      <w:r>
        <w:rPr>
          <w:rFonts w:ascii="Times New Roman" w:hAnsi="Times New Roman" w:eastAsia="Times New Roman" w:cs="Times New Roman"/>
          <w:kern w:val="0"/>
          <w:lang w:eastAsia="en-GB"/>
          <w14:ligatures w14:val="none"/>
        </w:rPr>
        <w:t>.</w:t>
      </w:r>
    </w:p>
    <w:p w14:paraId="69FA212D">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Political influence and local pressures often result in weak enforcement of electoral laws, especially in regions with high political stakes</w:t>
      </w:r>
      <w:r>
        <w:rPr>
          <w:rStyle w:val="7"/>
          <w:rFonts w:ascii="Times New Roman" w:hAnsi="Times New Roman" w:eastAsia="Times New Roman" w:cs="Times New Roman"/>
          <w:kern w:val="0"/>
          <w:lang w:eastAsia="en-GB"/>
          <w14:ligatures w14:val="none"/>
        </w:rPr>
        <w:footnoteReference w:id="25"/>
      </w:r>
      <w:r>
        <w:rPr>
          <w:rFonts w:ascii="Times New Roman" w:hAnsi="Times New Roman" w:eastAsia="Times New Roman" w:cs="Times New Roman"/>
          <w:kern w:val="0"/>
          <w:lang w:eastAsia="en-GB"/>
          <w14:ligatures w14:val="none"/>
        </w:rPr>
        <w:t>.</w:t>
      </w:r>
    </w:p>
    <w:p w14:paraId="6E65BA4D">
      <w:pPr>
        <w:spacing w:before="100" w:beforeAutospacing="1" w:after="100" w:afterAutospacing="1" w:line="360" w:lineRule="auto"/>
        <w:jc w:val="both"/>
        <w:outlineLvl w:val="3"/>
        <w:rPr>
          <w:rFonts w:ascii="Times New Roman" w:hAnsi="Times New Roman" w:eastAsia="Times New Roman" w:cs="Times New Roman"/>
          <w:b/>
          <w:bCs/>
          <w:kern w:val="0"/>
          <w:lang w:eastAsia="en-GB"/>
          <w14:ligatures w14:val="none"/>
        </w:rPr>
      </w:pPr>
      <w:r>
        <w:rPr>
          <w:rFonts w:ascii="Times New Roman" w:hAnsi="Times New Roman" w:eastAsia="Times New Roman" w:cs="Times New Roman"/>
          <w:b/>
          <w:bCs/>
          <w:kern w:val="0"/>
          <w:lang w:eastAsia="en-GB"/>
          <w14:ligatures w14:val="none"/>
        </w:rPr>
        <w:t>4.4 Public Awareness Deficits</w:t>
      </w:r>
    </w:p>
    <w:p w14:paraId="2AA9581B">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 xml:space="preserve">A crucial factor that undermines the enforcement of electoral laws is the </w:t>
      </w:r>
      <w:r>
        <w:rPr>
          <w:rFonts w:ascii="Times New Roman" w:hAnsi="Times New Roman" w:eastAsia="Times New Roman" w:cs="Times New Roman"/>
          <w:b/>
          <w:bCs/>
          <w:kern w:val="0"/>
          <w:lang w:eastAsia="en-GB"/>
          <w14:ligatures w14:val="none"/>
        </w:rPr>
        <w:t>lack of public awareness</w:t>
      </w:r>
      <w:r>
        <w:rPr>
          <w:rFonts w:ascii="Times New Roman" w:hAnsi="Times New Roman" w:eastAsia="Times New Roman" w:cs="Times New Roman"/>
          <w:kern w:val="0"/>
          <w:lang w:eastAsia="en-GB"/>
          <w14:ligatures w14:val="none"/>
        </w:rPr>
        <w:t xml:space="preserve"> regarding the importance of electoral integrity and the mechanisms for reporting electoral malpractices. Many voters, especially in rural areas, are unaware of the legal provisions that protect their voting rights or the ways in which electoral offenses can be reported. Additionally, voters may be hesitant to report electoral malpractices due to fear of retaliation or a lack of trust in the legal system</w:t>
      </w:r>
      <w:r>
        <w:rPr>
          <w:rStyle w:val="7"/>
          <w:rFonts w:ascii="Times New Roman" w:hAnsi="Times New Roman" w:eastAsia="Times New Roman" w:cs="Times New Roman"/>
          <w:kern w:val="0"/>
          <w:lang w:eastAsia="en-GB"/>
          <w14:ligatures w14:val="none"/>
        </w:rPr>
        <w:footnoteReference w:id="26"/>
      </w:r>
      <w:r>
        <w:rPr>
          <w:rFonts w:ascii="Times New Roman" w:hAnsi="Times New Roman" w:eastAsia="Times New Roman" w:cs="Times New Roman"/>
          <w:kern w:val="0"/>
          <w:lang w:eastAsia="en-GB"/>
          <w14:ligatures w14:val="none"/>
        </w:rPr>
        <w:t>.</w:t>
      </w:r>
    </w:p>
    <w:p w14:paraId="56D7F5A2">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This deficit in public awareness also affects the quality of elections themselves. For example, citizens who are unaware of their rights may be more susceptible to manipulation by political parties or candidates who seek to buy votes or intimidate voters. Consequently, creating widespread awareness about electoral integrity is essential to ensuring active citizen participation in monitoring elections and reporting malpractices</w:t>
      </w:r>
      <w:r>
        <w:rPr>
          <w:rStyle w:val="7"/>
          <w:rFonts w:ascii="Times New Roman" w:hAnsi="Times New Roman" w:eastAsia="Times New Roman" w:cs="Times New Roman"/>
          <w:kern w:val="0"/>
          <w:lang w:eastAsia="en-GB"/>
          <w14:ligatures w14:val="none"/>
        </w:rPr>
        <w:footnoteReference w:id="27"/>
      </w:r>
      <w:r>
        <w:rPr>
          <w:rFonts w:ascii="Times New Roman" w:hAnsi="Times New Roman" w:eastAsia="Times New Roman" w:cs="Times New Roman"/>
          <w:kern w:val="0"/>
          <w:lang w:eastAsia="en-GB"/>
          <w14:ligatures w14:val="none"/>
        </w:rPr>
        <w:t>.</w:t>
      </w:r>
    </w:p>
    <w:p w14:paraId="68A27714">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Public awareness is critical to ensuring that citizens understand their rights and the importance of reporting electoral offenses, yet many lack sufficient information</w:t>
      </w:r>
      <w:r>
        <w:rPr>
          <w:rStyle w:val="7"/>
          <w:rFonts w:ascii="Times New Roman" w:hAnsi="Times New Roman" w:eastAsia="Times New Roman" w:cs="Times New Roman"/>
          <w:kern w:val="0"/>
          <w:lang w:eastAsia="en-GB"/>
          <w14:ligatures w14:val="none"/>
        </w:rPr>
        <w:footnoteReference w:id="28"/>
      </w:r>
      <w:r>
        <w:rPr>
          <w:rFonts w:ascii="Times New Roman" w:hAnsi="Times New Roman" w:eastAsia="Times New Roman" w:cs="Times New Roman"/>
          <w:kern w:val="0"/>
          <w:lang w:eastAsia="en-GB"/>
          <w14:ligatures w14:val="none"/>
        </w:rPr>
        <w:t>.</w:t>
      </w:r>
    </w:p>
    <w:p w14:paraId="2B372AE1">
      <w:pPr>
        <w:pStyle w:val="14"/>
        <w:numPr>
          <w:ilvl w:val="0"/>
          <w:numId w:val="16"/>
        </w:numPr>
        <w:spacing w:before="100" w:beforeAutospacing="1" w:after="100" w:afterAutospacing="1" w:line="360" w:lineRule="auto"/>
        <w:jc w:val="both"/>
        <w:outlineLvl w:val="2"/>
        <w:rPr>
          <w:rFonts w:ascii="Times New Roman" w:hAnsi="Times New Roman" w:eastAsia="Times New Roman" w:cs="Times New Roman"/>
          <w:b/>
          <w:bCs/>
          <w:kern w:val="0"/>
          <w:lang w:eastAsia="en-GB"/>
          <w14:ligatures w14:val="none"/>
        </w:rPr>
      </w:pPr>
      <w:r>
        <w:rPr>
          <w:rFonts w:ascii="Times New Roman" w:hAnsi="Times New Roman" w:eastAsia="Times New Roman" w:cs="Times New Roman"/>
          <w:b/>
          <w:bCs/>
          <w:kern w:val="0"/>
          <w:lang w:eastAsia="en-GB"/>
          <w14:ligatures w14:val="none"/>
        </w:rPr>
        <w:t>COMPARATIVE INTERNATIONAL PRACTICES</w:t>
      </w:r>
    </w:p>
    <w:p w14:paraId="620CB34D">
      <w:pPr>
        <w:spacing w:before="100" w:beforeAutospacing="1" w:after="100" w:afterAutospacing="1" w:line="360" w:lineRule="auto"/>
        <w:ind w:left="36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The enforcement of electoral integrity is a challenge not only in India but also across the world. Several countries have adopted different strategies to address electoral malpractices and ensure fair elections. This section compares India's electoral framework with practices in countries like South Africa, Brazil, and the United States. Understanding how other nations tackle similar issues provides valuable insights and lessons that can be applied to improve India’s electoral integrity</w:t>
      </w:r>
      <w:r>
        <w:rPr>
          <w:rStyle w:val="7"/>
          <w:rFonts w:ascii="Times New Roman" w:hAnsi="Times New Roman" w:eastAsia="Times New Roman" w:cs="Times New Roman"/>
          <w:kern w:val="0"/>
          <w:lang w:eastAsia="en-GB"/>
          <w14:ligatures w14:val="none"/>
        </w:rPr>
        <w:footnoteReference w:id="29"/>
      </w:r>
      <w:r>
        <w:rPr>
          <w:rFonts w:ascii="Times New Roman" w:hAnsi="Times New Roman" w:eastAsia="Times New Roman" w:cs="Times New Roman"/>
          <w:kern w:val="0"/>
          <w:lang w:eastAsia="en-GB"/>
          <w14:ligatures w14:val="none"/>
        </w:rPr>
        <w:t>.</w:t>
      </w:r>
    </w:p>
    <w:p w14:paraId="366354D6">
      <w:pPr>
        <w:spacing w:before="100" w:beforeAutospacing="1" w:after="100" w:afterAutospacing="1" w:line="360" w:lineRule="auto"/>
        <w:jc w:val="both"/>
        <w:outlineLvl w:val="3"/>
        <w:rPr>
          <w:rFonts w:ascii="Times New Roman" w:hAnsi="Times New Roman" w:eastAsia="Times New Roman" w:cs="Times New Roman"/>
          <w:b/>
          <w:bCs/>
          <w:kern w:val="0"/>
          <w:lang w:eastAsia="en-GB"/>
          <w14:ligatures w14:val="none"/>
        </w:rPr>
      </w:pPr>
      <w:r>
        <w:rPr>
          <w:rFonts w:ascii="Times New Roman" w:hAnsi="Times New Roman" w:eastAsia="Times New Roman" w:cs="Times New Roman"/>
          <w:b/>
          <w:bCs/>
          <w:kern w:val="0"/>
          <w:lang w:eastAsia="en-GB"/>
          <w14:ligatures w14:val="none"/>
        </w:rPr>
        <w:t>5.1.  South Africa: Fast-Track Election Courts</w:t>
      </w:r>
    </w:p>
    <w:p w14:paraId="404B4241">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 xml:space="preserve">South Africa's approach to addressing electoral disputes involves the establishment of </w:t>
      </w:r>
      <w:r>
        <w:rPr>
          <w:rFonts w:ascii="Times New Roman" w:hAnsi="Times New Roman" w:eastAsia="Times New Roman" w:cs="Times New Roman"/>
          <w:b/>
          <w:bCs/>
          <w:kern w:val="0"/>
          <w:lang w:eastAsia="en-GB"/>
          <w14:ligatures w14:val="none"/>
        </w:rPr>
        <w:t>fast-track election courts</w:t>
      </w:r>
      <w:r>
        <w:rPr>
          <w:rFonts w:ascii="Times New Roman" w:hAnsi="Times New Roman" w:eastAsia="Times New Roman" w:cs="Times New Roman"/>
          <w:kern w:val="0"/>
          <w:lang w:eastAsia="en-GB"/>
          <w14:ligatures w14:val="none"/>
        </w:rPr>
        <w:t>. These courts are specifically designed to handle election-related cases, ensuring that disputes are resolved quickly and efficiently. The presence of specialized courts dedicated to electoral issues helps expedite the process and reduces the backlog of cases that plague the general judiciary</w:t>
      </w:r>
      <w:r>
        <w:rPr>
          <w:rStyle w:val="7"/>
          <w:rFonts w:ascii="Times New Roman" w:hAnsi="Times New Roman" w:eastAsia="Times New Roman" w:cs="Times New Roman"/>
          <w:kern w:val="0"/>
          <w:lang w:eastAsia="en-GB"/>
          <w14:ligatures w14:val="none"/>
        </w:rPr>
        <w:footnoteReference w:id="30"/>
      </w:r>
      <w:r>
        <w:rPr>
          <w:rFonts w:ascii="Times New Roman" w:hAnsi="Times New Roman" w:eastAsia="Times New Roman" w:cs="Times New Roman"/>
          <w:kern w:val="0"/>
          <w:lang w:eastAsia="en-GB"/>
          <w14:ligatures w14:val="none"/>
        </w:rPr>
        <w:t>. In South Africa, the Election Court has the power to make binding decisions on election results, thus enhancing the credibility of the electoral process</w:t>
      </w:r>
      <w:r>
        <w:rPr>
          <w:rStyle w:val="7"/>
          <w:rFonts w:ascii="Times New Roman" w:hAnsi="Times New Roman" w:eastAsia="Times New Roman" w:cs="Times New Roman"/>
          <w:kern w:val="0"/>
          <w:lang w:eastAsia="en-GB"/>
          <w14:ligatures w14:val="none"/>
        </w:rPr>
        <w:footnoteReference w:id="31"/>
      </w:r>
      <w:r>
        <w:rPr>
          <w:rFonts w:ascii="Times New Roman" w:hAnsi="Times New Roman" w:eastAsia="Times New Roman" w:cs="Times New Roman"/>
          <w:kern w:val="0"/>
          <w:lang w:eastAsia="en-GB"/>
          <w14:ligatures w14:val="none"/>
        </w:rPr>
        <w:t>.</w:t>
      </w:r>
    </w:p>
    <w:p w14:paraId="24C4CE90">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This fast-track system helps maintain public trust in the electoral system by providing timely resolutions to disputes, especially in high-stakes elections. The swift handling of electoral malpractices such as vote buying, fraud, or improper voter registration serves as an important deterrent, signaling to potential wrongdoers that electoral offenses will not be tolerated</w:t>
      </w:r>
      <w:r>
        <w:rPr>
          <w:rStyle w:val="7"/>
          <w:rFonts w:ascii="Times New Roman" w:hAnsi="Times New Roman" w:eastAsia="Times New Roman" w:cs="Times New Roman"/>
          <w:kern w:val="0"/>
          <w:lang w:eastAsia="en-GB"/>
          <w14:ligatures w14:val="none"/>
        </w:rPr>
        <w:footnoteReference w:id="32"/>
      </w:r>
      <w:r>
        <w:rPr>
          <w:rFonts w:ascii="Times New Roman" w:hAnsi="Times New Roman" w:eastAsia="Times New Roman" w:cs="Times New Roman"/>
          <w:kern w:val="0"/>
          <w:lang w:eastAsia="en-GB"/>
          <w14:ligatures w14:val="none"/>
        </w:rPr>
        <w:t>. Furthermore, the specialized focus of these courts ensures that judges and officials are better equipped to understand the complexities of electoral law, leading to more informed decisions and consistent rulings</w:t>
      </w:r>
      <w:r>
        <w:rPr>
          <w:rStyle w:val="7"/>
          <w:rFonts w:ascii="Times New Roman" w:hAnsi="Times New Roman" w:eastAsia="Times New Roman" w:cs="Times New Roman"/>
          <w:kern w:val="0"/>
          <w:lang w:eastAsia="en-GB"/>
          <w14:ligatures w14:val="none"/>
        </w:rPr>
        <w:footnoteReference w:id="33"/>
      </w:r>
      <w:r>
        <w:rPr>
          <w:rFonts w:ascii="Times New Roman" w:hAnsi="Times New Roman" w:eastAsia="Times New Roman" w:cs="Times New Roman"/>
          <w:kern w:val="0"/>
          <w:lang w:eastAsia="en-GB"/>
          <w14:ligatures w14:val="none"/>
        </w:rPr>
        <w:t>.</w:t>
      </w:r>
    </w:p>
    <w:p w14:paraId="3D79E7AB">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South Africa’s fast-track election courts provide an efficient mechanism for resolving electoral disputes, ensuring quicker justice and greater electoral credibility</w:t>
      </w:r>
      <w:r>
        <w:rPr>
          <w:rStyle w:val="7"/>
          <w:rFonts w:ascii="Times New Roman" w:hAnsi="Times New Roman" w:eastAsia="Times New Roman" w:cs="Times New Roman"/>
          <w:kern w:val="0"/>
          <w:lang w:eastAsia="en-GB"/>
          <w14:ligatures w14:val="none"/>
        </w:rPr>
        <w:footnoteReference w:id="34"/>
      </w:r>
      <w:r>
        <w:rPr>
          <w:rFonts w:ascii="Times New Roman" w:hAnsi="Times New Roman" w:eastAsia="Times New Roman" w:cs="Times New Roman"/>
          <w:kern w:val="0"/>
          <w:lang w:eastAsia="en-GB"/>
          <w14:ligatures w14:val="none"/>
        </w:rPr>
        <w:t>.</w:t>
      </w:r>
    </w:p>
    <w:p w14:paraId="2F97247F">
      <w:pPr>
        <w:spacing w:before="100" w:beforeAutospacing="1" w:after="100" w:afterAutospacing="1" w:line="360" w:lineRule="auto"/>
        <w:jc w:val="both"/>
        <w:outlineLvl w:val="3"/>
        <w:rPr>
          <w:rFonts w:ascii="Times New Roman" w:hAnsi="Times New Roman" w:eastAsia="Times New Roman" w:cs="Times New Roman"/>
          <w:b/>
          <w:bCs/>
          <w:kern w:val="0"/>
          <w:lang w:eastAsia="en-GB"/>
          <w14:ligatures w14:val="none"/>
        </w:rPr>
      </w:pPr>
      <w:r>
        <w:rPr>
          <w:rFonts w:ascii="Times New Roman" w:hAnsi="Times New Roman" w:eastAsia="Times New Roman" w:cs="Times New Roman"/>
          <w:b/>
          <w:bCs/>
          <w:kern w:val="0"/>
          <w:lang w:eastAsia="en-GB"/>
          <w14:ligatures w14:val="none"/>
        </w:rPr>
        <w:t>5.2.  Brazil: Election Tribunals</w:t>
      </w:r>
    </w:p>
    <w:p w14:paraId="3E9436CD">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 xml:space="preserve">Brazil has adopted a system of </w:t>
      </w:r>
      <w:r>
        <w:rPr>
          <w:rFonts w:ascii="Times New Roman" w:hAnsi="Times New Roman" w:eastAsia="Times New Roman" w:cs="Times New Roman"/>
          <w:b/>
          <w:bCs/>
          <w:kern w:val="0"/>
          <w:lang w:eastAsia="en-GB"/>
          <w14:ligatures w14:val="none"/>
        </w:rPr>
        <w:t>election tribunals</w:t>
      </w:r>
      <w:r>
        <w:rPr>
          <w:rFonts w:ascii="Times New Roman" w:hAnsi="Times New Roman" w:eastAsia="Times New Roman" w:cs="Times New Roman"/>
          <w:kern w:val="0"/>
          <w:lang w:eastAsia="en-GB"/>
          <w14:ligatures w14:val="none"/>
        </w:rPr>
        <w:t xml:space="preserve"> that are designed to oversee the integrity of elections from start to finish. The Superior Electoral Court (TSE) and regional electoral tribunals play a crucial role in regulating the electoral process, monitoring campaigns, and adjudicating disputes. The TSE is responsible for overseeing the overall electoral process, ensuring that it is free from corruption and manipulation</w:t>
      </w:r>
      <w:r>
        <w:rPr>
          <w:rStyle w:val="7"/>
          <w:rFonts w:ascii="Times New Roman" w:hAnsi="Times New Roman" w:eastAsia="Times New Roman" w:cs="Times New Roman"/>
          <w:kern w:val="0"/>
          <w:lang w:eastAsia="en-GB"/>
          <w14:ligatures w14:val="none"/>
        </w:rPr>
        <w:footnoteReference w:id="35"/>
      </w:r>
      <w:r>
        <w:rPr>
          <w:rFonts w:ascii="Times New Roman" w:hAnsi="Times New Roman" w:eastAsia="Times New Roman" w:cs="Times New Roman"/>
          <w:kern w:val="0"/>
          <w:lang w:eastAsia="en-GB"/>
          <w14:ligatures w14:val="none"/>
        </w:rPr>
        <w:t>.</w:t>
      </w:r>
    </w:p>
    <w:p w14:paraId="2024CFC2">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These tribunals also have the power to investigate electoral fraud, enforce campaign finance laws, and address violations of the electoral code. One of the most effective elements of Brazil’s system is its ability to conduct rapid investigations and impose penalties on candidates and parties who engage in electoral malpractices. The tribunals’ swift responses to allegations of corruption, vote buying, and undue influence create a deterrent effect, reinforcing the rule of law and promoting transparency in the electoral process</w:t>
      </w:r>
      <w:r>
        <w:rPr>
          <w:rStyle w:val="7"/>
          <w:rFonts w:ascii="Times New Roman" w:hAnsi="Times New Roman" w:eastAsia="Times New Roman" w:cs="Times New Roman"/>
          <w:kern w:val="0"/>
          <w:lang w:eastAsia="en-GB"/>
          <w14:ligatures w14:val="none"/>
        </w:rPr>
        <w:footnoteReference w:id="36"/>
      </w:r>
      <w:r>
        <w:rPr>
          <w:rFonts w:ascii="Times New Roman" w:hAnsi="Times New Roman" w:eastAsia="Times New Roman" w:cs="Times New Roman"/>
          <w:kern w:val="0"/>
          <w:lang w:eastAsia="en-GB"/>
          <w14:ligatures w14:val="none"/>
        </w:rPr>
        <w:t>.</w:t>
      </w:r>
    </w:p>
    <w:p w14:paraId="03AC0ABD">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Moreover, Brazil’s election tribunals are supported by technology, including electronic voting systems that have helped reduce the scope for electoral fraud. The use of technology in the form of electronic voting machines has made elections more transparent, reducing the opportunities for vote manipulation or ballot stuffing</w:t>
      </w:r>
      <w:r>
        <w:rPr>
          <w:rStyle w:val="7"/>
          <w:rFonts w:ascii="Times New Roman" w:hAnsi="Times New Roman" w:eastAsia="Times New Roman" w:cs="Times New Roman"/>
          <w:kern w:val="0"/>
          <w:lang w:eastAsia="en-GB"/>
          <w14:ligatures w14:val="none"/>
        </w:rPr>
        <w:footnoteReference w:id="37"/>
      </w:r>
      <w:r>
        <w:rPr>
          <w:rFonts w:ascii="Times New Roman" w:hAnsi="Times New Roman" w:eastAsia="Times New Roman" w:cs="Times New Roman"/>
          <w:kern w:val="0"/>
          <w:lang w:eastAsia="en-GB"/>
          <w14:ligatures w14:val="none"/>
        </w:rPr>
        <w:t>.</w:t>
      </w:r>
    </w:p>
    <w:p w14:paraId="0665A317">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Brazil’s use of election tribunals and electronic voting has made its electoral system more transparent, reducing fraud and ensuring greater accountability</w:t>
      </w:r>
      <w:r>
        <w:rPr>
          <w:rStyle w:val="7"/>
          <w:rFonts w:ascii="Times New Roman" w:hAnsi="Times New Roman" w:eastAsia="Times New Roman" w:cs="Times New Roman"/>
          <w:kern w:val="0"/>
          <w:lang w:eastAsia="en-GB"/>
          <w14:ligatures w14:val="none"/>
        </w:rPr>
        <w:footnoteReference w:id="38"/>
      </w:r>
      <w:r>
        <w:rPr>
          <w:rFonts w:ascii="Times New Roman" w:hAnsi="Times New Roman" w:eastAsia="Times New Roman" w:cs="Times New Roman"/>
          <w:kern w:val="0"/>
          <w:lang w:eastAsia="en-GB"/>
          <w14:ligatures w14:val="none"/>
        </w:rPr>
        <w:t>.</w:t>
      </w:r>
    </w:p>
    <w:p w14:paraId="57977ABB">
      <w:pPr>
        <w:spacing w:before="100" w:beforeAutospacing="1" w:after="100" w:afterAutospacing="1" w:line="360" w:lineRule="auto"/>
        <w:jc w:val="both"/>
        <w:outlineLvl w:val="3"/>
        <w:rPr>
          <w:rFonts w:ascii="Times New Roman" w:hAnsi="Times New Roman" w:eastAsia="Times New Roman" w:cs="Times New Roman"/>
          <w:b/>
          <w:bCs/>
          <w:kern w:val="0"/>
          <w:lang w:eastAsia="en-GB"/>
          <w14:ligatures w14:val="none"/>
        </w:rPr>
      </w:pPr>
      <w:r>
        <w:rPr>
          <w:rFonts w:ascii="Times New Roman" w:hAnsi="Times New Roman" w:eastAsia="Times New Roman" w:cs="Times New Roman"/>
          <w:b/>
          <w:bCs/>
          <w:kern w:val="0"/>
          <w:lang w:eastAsia="en-GB"/>
          <w14:ligatures w14:val="none"/>
        </w:rPr>
        <w:t>5.3 Insights for India</w:t>
      </w:r>
    </w:p>
    <w:p w14:paraId="04670BC4">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 xml:space="preserve">India, like South Africa and Brazil, can learn from the electoral frameworks in these countries. The establishment of </w:t>
      </w:r>
      <w:r>
        <w:rPr>
          <w:rFonts w:ascii="Times New Roman" w:hAnsi="Times New Roman" w:eastAsia="Times New Roman" w:cs="Times New Roman"/>
          <w:b/>
          <w:bCs/>
          <w:kern w:val="0"/>
          <w:lang w:eastAsia="en-GB"/>
          <w14:ligatures w14:val="none"/>
        </w:rPr>
        <w:t>fast-track election tribunals</w:t>
      </w:r>
      <w:r>
        <w:rPr>
          <w:rFonts w:ascii="Times New Roman" w:hAnsi="Times New Roman" w:eastAsia="Times New Roman" w:cs="Times New Roman"/>
          <w:kern w:val="0"/>
          <w:lang w:eastAsia="en-GB"/>
          <w14:ligatures w14:val="none"/>
        </w:rPr>
        <w:t xml:space="preserve"> or specialized courts could significantly reduce the delays that plague the judicial process in India</w:t>
      </w:r>
      <w:r>
        <w:rPr>
          <w:rStyle w:val="7"/>
          <w:rFonts w:ascii="Times New Roman" w:hAnsi="Times New Roman" w:eastAsia="Times New Roman" w:cs="Times New Roman"/>
          <w:kern w:val="0"/>
          <w:lang w:eastAsia="en-GB"/>
          <w14:ligatures w14:val="none"/>
        </w:rPr>
        <w:footnoteReference w:id="39"/>
      </w:r>
      <w:r>
        <w:rPr>
          <w:rFonts w:ascii="Times New Roman" w:hAnsi="Times New Roman" w:eastAsia="Times New Roman" w:cs="Times New Roman"/>
          <w:kern w:val="0"/>
          <w:lang w:eastAsia="en-GB"/>
          <w14:ligatures w14:val="none"/>
        </w:rPr>
        <w:t>. Specialization in handling electoral disputes would allow the courts to handle cases more efficiently, providing quicker resolutions and reinforcing public confidence in the electoral process. Furthermore, empowering the Election Commission of India (ECI) with greater resources and autonomy to conduct investigations and prosecute electoral offenses can enhance the enforcement of electoral laws</w:t>
      </w:r>
      <w:r>
        <w:rPr>
          <w:rStyle w:val="7"/>
          <w:rFonts w:ascii="Times New Roman" w:hAnsi="Times New Roman" w:eastAsia="Times New Roman" w:cs="Times New Roman"/>
          <w:kern w:val="0"/>
          <w:lang w:eastAsia="en-GB"/>
          <w14:ligatures w14:val="none"/>
        </w:rPr>
        <w:footnoteReference w:id="40"/>
      </w:r>
      <w:r>
        <w:rPr>
          <w:rFonts w:ascii="Times New Roman" w:hAnsi="Times New Roman" w:eastAsia="Times New Roman" w:cs="Times New Roman"/>
          <w:kern w:val="0"/>
          <w:lang w:eastAsia="en-GB"/>
          <w14:ligatures w14:val="none"/>
        </w:rPr>
        <w:t>.</w:t>
      </w:r>
    </w:p>
    <w:p w14:paraId="3D51516B">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Technology also plays a key role in ensuring transparency and reducing electoral fraud. India can adopt electronic voting systems similar to Brazil’s to enhance the accuracy and security of voting processes</w:t>
      </w:r>
      <w:r>
        <w:rPr>
          <w:rStyle w:val="7"/>
          <w:rFonts w:ascii="Times New Roman" w:hAnsi="Times New Roman" w:eastAsia="Times New Roman" w:cs="Times New Roman"/>
          <w:kern w:val="0"/>
          <w:lang w:eastAsia="en-GB"/>
          <w14:ligatures w14:val="none"/>
        </w:rPr>
        <w:footnoteReference w:id="41"/>
      </w:r>
      <w:r>
        <w:rPr>
          <w:rFonts w:ascii="Times New Roman" w:hAnsi="Times New Roman" w:eastAsia="Times New Roman" w:cs="Times New Roman"/>
          <w:kern w:val="0"/>
          <w:lang w:eastAsia="en-GB"/>
          <w14:ligatures w14:val="none"/>
        </w:rPr>
        <w:t>. These systems, when coupled with robust auditing mechanisms, can help ensure that the votes cast are accurately counted and reported</w:t>
      </w:r>
      <w:r>
        <w:rPr>
          <w:rStyle w:val="7"/>
          <w:rFonts w:ascii="Times New Roman" w:hAnsi="Times New Roman" w:eastAsia="Times New Roman" w:cs="Times New Roman"/>
          <w:kern w:val="0"/>
          <w:lang w:eastAsia="en-GB"/>
          <w14:ligatures w14:val="none"/>
        </w:rPr>
        <w:footnoteReference w:id="42"/>
      </w:r>
      <w:r>
        <w:rPr>
          <w:rFonts w:ascii="Times New Roman" w:hAnsi="Times New Roman" w:eastAsia="Times New Roman" w:cs="Times New Roman"/>
          <w:kern w:val="0"/>
          <w:lang w:eastAsia="en-GB"/>
          <w14:ligatures w14:val="none"/>
        </w:rPr>
        <w:t>.</w:t>
      </w:r>
    </w:p>
    <w:p w14:paraId="6B3C3532">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Ultimately, the experiences of South Africa and Brazil suggest that combining legal reforms with technological innovations can strengthen electoral integrity. India could benefit from adopting similar reforms to improve the effectiveness of its electoral management system and reduce the incidence of malpractices</w:t>
      </w:r>
      <w:r>
        <w:rPr>
          <w:rStyle w:val="7"/>
          <w:rFonts w:ascii="Times New Roman" w:hAnsi="Times New Roman" w:eastAsia="Times New Roman" w:cs="Times New Roman"/>
          <w:kern w:val="0"/>
          <w:lang w:eastAsia="en-GB"/>
          <w14:ligatures w14:val="none"/>
        </w:rPr>
        <w:footnoteReference w:id="43"/>
      </w:r>
      <w:r>
        <w:rPr>
          <w:rFonts w:ascii="Times New Roman" w:hAnsi="Times New Roman" w:eastAsia="Times New Roman" w:cs="Times New Roman"/>
          <w:kern w:val="0"/>
          <w:lang w:eastAsia="en-GB"/>
          <w14:ligatures w14:val="none"/>
        </w:rPr>
        <w:t>.</w:t>
      </w:r>
    </w:p>
    <w:p w14:paraId="4D67752C">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The adoption of fast-track election tribunals and electronic voting could help India address its electoral challenges and enhance transparency</w:t>
      </w:r>
      <w:r>
        <w:rPr>
          <w:rStyle w:val="7"/>
          <w:rFonts w:ascii="Times New Roman" w:hAnsi="Times New Roman" w:eastAsia="Times New Roman" w:cs="Times New Roman"/>
          <w:kern w:val="0"/>
          <w:lang w:eastAsia="en-GB"/>
          <w14:ligatures w14:val="none"/>
        </w:rPr>
        <w:footnoteReference w:id="44"/>
      </w:r>
      <w:r>
        <w:rPr>
          <w:rFonts w:ascii="Times New Roman" w:hAnsi="Times New Roman" w:eastAsia="Times New Roman" w:cs="Times New Roman"/>
          <w:kern w:val="0"/>
          <w:lang w:eastAsia="en-GB"/>
          <w14:ligatures w14:val="none"/>
        </w:rPr>
        <w:t>.</w:t>
      </w:r>
    </w:p>
    <w:p w14:paraId="6B7C6D67">
      <w:pPr>
        <w:pStyle w:val="14"/>
        <w:numPr>
          <w:ilvl w:val="0"/>
          <w:numId w:val="16"/>
        </w:numPr>
        <w:spacing w:before="100" w:beforeAutospacing="1" w:after="100" w:afterAutospacing="1" w:line="360" w:lineRule="auto"/>
        <w:jc w:val="both"/>
        <w:outlineLvl w:val="2"/>
        <w:rPr>
          <w:rFonts w:ascii="Times New Roman" w:hAnsi="Times New Roman" w:eastAsia="Times New Roman" w:cs="Times New Roman"/>
          <w:b/>
          <w:bCs/>
          <w:kern w:val="0"/>
          <w:lang w:eastAsia="en-GB"/>
          <w14:ligatures w14:val="none"/>
        </w:rPr>
      </w:pPr>
      <w:r>
        <w:rPr>
          <w:rFonts w:ascii="Times New Roman" w:hAnsi="Times New Roman" w:eastAsia="Times New Roman" w:cs="Times New Roman"/>
          <w:b/>
          <w:bCs/>
          <w:kern w:val="0"/>
          <w:lang w:eastAsia="en-GB"/>
          <w14:ligatures w14:val="none"/>
        </w:rPr>
        <w:t>EVALUATING THE EFFECTIVENESS OF CURRENT FRAMEWORKS IN INDIA</w:t>
      </w:r>
    </w:p>
    <w:p w14:paraId="2580F6E9">
      <w:pPr>
        <w:spacing w:before="100" w:beforeAutospacing="1" w:after="100" w:afterAutospacing="1" w:line="360" w:lineRule="auto"/>
        <w:ind w:left="36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 xml:space="preserve">India’s current legal framework for ensuring electoral integrity includes a variety of laws and regulations, including the </w:t>
      </w:r>
      <w:r>
        <w:rPr>
          <w:rFonts w:ascii="Times New Roman" w:hAnsi="Times New Roman" w:eastAsia="Times New Roman" w:cs="Times New Roman"/>
          <w:b/>
          <w:bCs/>
          <w:kern w:val="0"/>
          <w:lang w:eastAsia="en-GB"/>
          <w14:ligatures w14:val="none"/>
        </w:rPr>
        <w:t>Representation of the People Act (RPA), 1951</w:t>
      </w:r>
      <w:r>
        <w:rPr>
          <w:rFonts w:ascii="Times New Roman" w:hAnsi="Times New Roman" w:eastAsia="Times New Roman" w:cs="Times New Roman"/>
          <w:kern w:val="0"/>
          <w:lang w:eastAsia="en-GB"/>
          <w14:ligatures w14:val="none"/>
        </w:rPr>
        <w:t xml:space="preserve">, and the </w:t>
      </w:r>
      <w:r>
        <w:rPr>
          <w:rFonts w:ascii="Times New Roman" w:hAnsi="Times New Roman" w:eastAsia="Times New Roman" w:cs="Times New Roman"/>
          <w:b/>
          <w:bCs/>
          <w:kern w:val="0"/>
          <w:lang w:eastAsia="en-GB"/>
          <w14:ligatures w14:val="none"/>
        </w:rPr>
        <w:t>Bharatiya Nyaya Sanhita (BNS)</w:t>
      </w:r>
      <w:r>
        <w:rPr>
          <w:rFonts w:ascii="Times New Roman" w:hAnsi="Times New Roman" w:eastAsia="Times New Roman" w:cs="Times New Roman"/>
          <w:kern w:val="0"/>
          <w:lang w:eastAsia="en-GB"/>
          <w14:ligatures w14:val="none"/>
        </w:rPr>
        <w:t>. However, the effectiveness of these laws and their enforcement remains a subject of debate. This section evaluates the effectiveness of India's current electoral integrity frameworks, including their deterrent effects, enforcement challenges, and public perception.</w:t>
      </w:r>
    </w:p>
    <w:p w14:paraId="4F3A47A2">
      <w:pPr>
        <w:spacing w:before="100" w:beforeAutospacing="1" w:after="100" w:afterAutospacing="1" w:line="360" w:lineRule="auto"/>
        <w:jc w:val="both"/>
        <w:outlineLvl w:val="3"/>
        <w:rPr>
          <w:rFonts w:ascii="Times New Roman" w:hAnsi="Times New Roman" w:eastAsia="Times New Roman" w:cs="Times New Roman"/>
          <w:b/>
          <w:bCs/>
          <w:kern w:val="0"/>
          <w:lang w:eastAsia="en-GB"/>
          <w14:ligatures w14:val="none"/>
        </w:rPr>
      </w:pPr>
      <w:r>
        <w:rPr>
          <w:rFonts w:ascii="Times New Roman" w:hAnsi="Times New Roman" w:eastAsia="Times New Roman" w:cs="Times New Roman"/>
          <w:b/>
          <w:bCs/>
          <w:kern w:val="0"/>
          <w:lang w:eastAsia="en-GB"/>
          <w14:ligatures w14:val="none"/>
        </w:rPr>
        <w:t>6.1 Analysis of Deterrent Effects</w:t>
      </w:r>
    </w:p>
    <w:p w14:paraId="49BDF05D">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The primary objective of electoral laws is to deter malpractices by imposing strict penalties for offenses such as vote buying, voter impersonation, and tampering with election results. However, the deterrent effects of these laws in India have often been questioned. Research has shown that electoral malpractices continue to persist, despite the presence of strict legal provisions</w:t>
      </w:r>
      <w:r>
        <w:rPr>
          <w:rStyle w:val="7"/>
          <w:rFonts w:ascii="Times New Roman" w:hAnsi="Times New Roman" w:eastAsia="Times New Roman" w:cs="Times New Roman"/>
          <w:kern w:val="0"/>
          <w:lang w:eastAsia="en-GB"/>
          <w14:ligatures w14:val="none"/>
        </w:rPr>
        <w:footnoteReference w:id="45"/>
      </w:r>
      <w:r>
        <w:rPr>
          <w:rFonts w:ascii="Times New Roman" w:hAnsi="Times New Roman" w:eastAsia="Times New Roman" w:cs="Times New Roman"/>
          <w:kern w:val="0"/>
          <w:lang w:eastAsia="en-GB"/>
          <w14:ligatures w14:val="none"/>
        </w:rPr>
        <w:t>. One reason for this could be the lack of swift and effective enforcement of these laws.</w:t>
      </w:r>
    </w:p>
    <w:p w14:paraId="55BA6AB7">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 xml:space="preserve">For instance, the penalties for electoral fraud under the </w:t>
      </w:r>
      <w:r>
        <w:rPr>
          <w:rFonts w:ascii="Times New Roman" w:hAnsi="Times New Roman" w:eastAsia="Times New Roman" w:cs="Times New Roman"/>
          <w:b/>
          <w:bCs/>
          <w:kern w:val="0"/>
          <w:lang w:eastAsia="en-GB"/>
          <w14:ligatures w14:val="none"/>
        </w:rPr>
        <w:t>Representation of the People Act (RPA)</w:t>
      </w:r>
      <w:r>
        <w:rPr>
          <w:rFonts w:ascii="Times New Roman" w:hAnsi="Times New Roman" w:eastAsia="Times New Roman" w:cs="Times New Roman"/>
          <w:kern w:val="0"/>
          <w:lang w:eastAsia="en-GB"/>
          <w14:ligatures w14:val="none"/>
        </w:rPr>
        <w:t xml:space="preserve"> include fines and imprisonment</w:t>
      </w:r>
      <w:r>
        <w:rPr>
          <w:rStyle w:val="7"/>
          <w:rFonts w:ascii="Times New Roman" w:hAnsi="Times New Roman" w:eastAsia="Times New Roman" w:cs="Times New Roman"/>
          <w:kern w:val="0"/>
          <w:lang w:eastAsia="en-GB"/>
          <w14:ligatures w14:val="none"/>
        </w:rPr>
        <w:footnoteReference w:id="46"/>
      </w:r>
      <w:r>
        <w:rPr>
          <w:rFonts w:ascii="Times New Roman" w:hAnsi="Times New Roman" w:eastAsia="Times New Roman" w:cs="Times New Roman"/>
          <w:kern w:val="0"/>
          <w:lang w:eastAsia="en-GB"/>
          <w14:ligatures w14:val="none"/>
        </w:rPr>
        <w:t>, but the enforcement of these penalties can be delayed due to slow judicial processes and the challenges of investigating complex electoral offenses. Furthermore, many offenders are not prosecuted due to lack of evidence or because of political influence, which erodes the deterrent effect of these laws</w:t>
      </w:r>
      <w:r>
        <w:rPr>
          <w:rStyle w:val="7"/>
          <w:rFonts w:ascii="Times New Roman" w:hAnsi="Times New Roman" w:eastAsia="Times New Roman" w:cs="Times New Roman"/>
          <w:kern w:val="0"/>
          <w:lang w:eastAsia="en-GB"/>
          <w14:ligatures w14:val="none"/>
        </w:rPr>
        <w:footnoteReference w:id="47"/>
      </w:r>
      <w:r>
        <w:rPr>
          <w:rFonts w:ascii="Times New Roman" w:hAnsi="Times New Roman" w:eastAsia="Times New Roman" w:cs="Times New Roman"/>
          <w:kern w:val="0"/>
          <w:lang w:eastAsia="en-GB"/>
          <w14:ligatures w14:val="none"/>
        </w:rPr>
        <w:t>. Thus, while the legal framework theoretically deters electoral malpractices, the lack of timely action and weak enforcement mechanisms undermine its effectiveness</w:t>
      </w:r>
      <w:r>
        <w:rPr>
          <w:rStyle w:val="7"/>
          <w:rFonts w:ascii="Times New Roman" w:hAnsi="Times New Roman" w:eastAsia="Times New Roman" w:cs="Times New Roman"/>
          <w:kern w:val="0"/>
          <w:lang w:eastAsia="en-GB"/>
          <w14:ligatures w14:val="none"/>
        </w:rPr>
        <w:footnoteReference w:id="48"/>
      </w:r>
      <w:r>
        <w:rPr>
          <w:rFonts w:ascii="Times New Roman" w:hAnsi="Times New Roman" w:eastAsia="Times New Roman" w:cs="Times New Roman"/>
          <w:kern w:val="0"/>
          <w:lang w:eastAsia="en-GB"/>
          <w14:ligatures w14:val="none"/>
        </w:rPr>
        <w:t>.</w:t>
      </w:r>
    </w:p>
    <w:p w14:paraId="4F0E47DC">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The limited deterrent effects of India's current electoral laws are exacerbated by delays in enforcement and challenges in prosecuting offenders</w:t>
      </w:r>
      <w:r>
        <w:rPr>
          <w:rStyle w:val="7"/>
          <w:rFonts w:ascii="Times New Roman" w:hAnsi="Times New Roman" w:eastAsia="Times New Roman" w:cs="Times New Roman"/>
          <w:kern w:val="0"/>
          <w:lang w:eastAsia="en-GB"/>
          <w14:ligatures w14:val="none"/>
        </w:rPr>
        <w:footnoteReference w:id="49"/>
      </w:r>
      <w:r>
        <w:rPr>
          <w:rFonts w:ascii="Times New Roman" w:hAnsi="Times New Roman" w:eastAsia="Times New Roman" w:cs="Times New Roman"/>
          <w:kern w:val="0"/>
          <w:lang w:eastAsia="en-GB"/>
          <w14:ligatures w14:val="none"/>
        </w:rPr>
        <w:t>.</w:t>
      </w:r>
    </w:p>
    <w:p w14:paraId="51C1C9DF">
      <w:pPr>
        <w:spacing w:before="100" w:beforeAutospacing="1" w:after="100" w:afterAutospacing="1" w:line="360" w:lineRule="auto"/>
        <w:jc w:val="both"/>
        <w:outlineLvl w:val="3"/>
        <w:rPr>
          <w:rFonts w:ascii="Times New Roman" w:hAnsi="Times New Roman" w:eastAsia="Times New Roman" w:cs="Times New Roman"/>
          <w:b/>
          <w:bCs/>
          <w:kern w:val="0"/>
          <w:lang w:eastAsia="en-GB"/>
          <w14:ligatures w14:val="none"/>
        </w:rPr>
      </w:pPr>
      <w:r>
        <w:rPr>
          <w:rFonts w:ascii="Times New Roman" w:hAnsi="Times New Roman" w:eastAsia="Times New Roman" w:cs="Times New Roman"/>
          <w:b/>
          <w:bCs/>
          <w:kern w:val="0"/>
          <w:lang w:eastAsia="en-GB"/>
          <w14:ligatures w14:val="none"/>
        </w:rPr>
        <w:t>6.2 Case Studies on Deterrence and Challenges</w:t>
      </w:r>
    </w:p>
    <w:p w14:paraId="705349A0">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To assess the practical impact of electoral laws in deterring malpractices, it is helpful to examine specific case studies. In recent elections, there have been numerous instances where vote buying and other malpractices have been reported, yet only a small fraction of offenders have been prosecuted</w:t>
      </w:r>
      <w:r>
        <w:rPr>
          <w:rStyle w:val="7"/>
          <w:rFonts w:ascii="Times New Roman" w:hAnsi="Times New Roman" w:eastAsia="Times New Roman" w:cs="Times New Roman"/>
          <w:kern w:val="0"/>
          <w:lang w:eastAsia="en-GB"/>
          <w14:ligatures w14:val="none"/>
        </w:rPr>
        <w:footnoteReference w:id="50"/>
      </w:r>
      <w:r>
        <w:rPr>
          <w:rFonts w:ascii="Times New Roman" w:hAnsi="Times New Roman" w:eastAsia="Times New Roman" w:cs="Times New Roman"/>
          <w:kern w:val="0"/>
          <w:lang w:eastAsia="en-GB"/>
          <w14:ligatures w14:val="none"/>
        </w:rPr>
        <w:t>. In the 2019 Indian general elections, for example, several political parties were accused of distributing cash and other incentives to influence voters. Despite investigations by the Election Commission of India (ECI) and law enforcement agencies, only a few individuals were convicted</w:t>
      </w:r>
      <w:r>
        <w:rPr>
          <w:rStyle w:val="7"/>
          <w:rFonts w:ascii="Times New Roman" w:hAnsi="Times New Roman" w:eastAsia="Times New Roman" w:cs="Times New Roman"/>
          <w:kern w:val="0"/>
          <w:lang w:eastAsia="en-GB"/>
          <w14:ligatures w14:val="none"/>
        </w:rPr>
        <w:footnoteReference w:id="51"/>
      </w:r>
      <w:r>
        <w:rPr>
          <w:rFonts w:ascii="Times New Roman" w:hAnsi="Times New Roman" w:eastAsia="Times New Roman" w:cs="Times New Roman"/>
          <w:kern w:val="0"/>
          <w:lang w:eastAsia="en-GB"/>
          <w14:ligatures w14:val="none"/>
        </w:rPr>
        <w:t>. This raises questions about the effectiveness of India's electoral laws in preventing and penalizing malpractices.</w:t>
      </w:r>
    </w:p>
    <w:p w14:paraId="74CD2EC5">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 xml:space="preserve">One prominent example of a failed deterrent system is the </w:t>
      </w:r>
      <w:r>
        <w:rPr>
          <w:rFonts w:ascii="Times New Roman" w:hAnsi="Times New Roman" w:eastAsia="Times New Roman" w:cs="Times New Roman"/>
          <w:b/>
          <w:bCs/>
          <w:kern w:val="0"/>
          <w:lang w:eastAsia="en-GB"/>
          <w14:ligatures w14:val="none"/>
        </w:rPr>
        <w:t>Nellore case</w:t>
      </w:r>
      <w:r>
        <w:rPr>
          <w:rFonts w:ascii="Times New Roman" w:hAnsi="Times New Roman" w:eastAsia="Times New Roman" w:cs="Times New Roman"/>
          <w:kern w:val="0"/>
          <w:lang w:eastAsia="en-GB"/>
          <w14:ligatures w14:val="none"/>
        </w:rPr>
        <w:t>, where political parties allegedly engaged in vote buying. While the ECI conducted investigations, no significant legal action was taken against the perpetrators, allowing the malpractices to go unpunished</w:t>
      </w:r>
      <w:r>
        <w:rPr>
          <w:rStyle w:val="7"/>
          <w:rFonts w:ascii="Times New Roman" w:hAnsi="Times New Roman" w:eastAsia="Times New Roman" w:cs="Times New Roman"/>
          <w:kern w:val="0"/>
          <w:lang w:eastAsia="en-GB"/>
          <w14:ligatures w14:val="none"/>
        </w:rPr>
        <w:footnoteReference w:id="52"/>
      </w:r>
      <w:r>
        <w:rPr>
          <w:rFonts w:ascii="Times New Roman" w:hAnsi="Times New Roman" w:eastAsia="Times New Roman" w:cs="Times New Roman"/>
          <w:kern w:val="0"/>
          <w:lang w:eastAsia="en-GB"/>
          <w14:ligatures w14:val="none"/>
        </w:rPr>
        <w:t>. This case highlights the gap between legal provisions and actual enforcement. The limited success in addressing these issues points to weaknesses in the legal and institutional frameworks that need to be addressed to ensure more effective deterrence</w:t>
      </w:r>
      <w:r>
        <w:rPr>
          <w:rStyle w:val="7"/>
          <w:rFonts w:ascii="Times New Roman" w:hAnsi="Times New Roman" w:eastAsia="Times New Roman" w:cs="Times New Roman"/>
          <w:kern w:val="0"/>
          <w:lang w:eastAsia="en-GB"/>
          <w14:ligatures w14:val="none"/>
        </w:rPr>
        <w:footnoteReference w:id="53"/>
      </w:r>
      <w:r>
        <w:rPr>
          <w:rFonts w:ascii="Times New Roman" w:hAnsi="Times New Roman" w:eastAsia="Times New Roman" w:cs="Times New Roman"/>
          <w:kern w:val="0"/>
          <w:lang w:eastAsia="en-GB"/>
          <w14:ligatures w14:val="none"/>
        </w:rPr>
        <w:t>.</w:t>
      </w:r>
    </w:p>
    <w:p w14:paraId="12AAA776">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Case studies such as the Nellore incident illustrate the limitations of the deterrent effect of India’s current electoral framework</w:t>
      </w:r>
      <w:r>
        <w:rPr>
          <w:rStyle w:val="7"/>
          <w:rFonts w:ascii="Times New Roman" w:hAnsi="Times New Roman" w:eastAsia="Times New Roman" w:cs="Times New Roman"/>
          <w:kern w:val="0"/>
          <w:lang w:eastAsia="en-GB"/>
          <w14:ligatures w14:val="none"/>
        </w:rPr>
        <w:footnoteReference w:id="54"/>
      </w:r>
      <w:r>
        <w:rPr>
          <w:rFonts w:ascii="Times New Roman" w:hAnsi="Times New Roman" w:eastAsia="Times New Roman" w:cs="Times New Roman"/>
          <w:kern w:val="0"/>
          <w:lang w:eastAsia="en-GB"/>
          <w14:ligatures w14:val="none"/>
        </w:rPr>
        <w:t>.</w:t>
      </w:r>
    </w:p>
    <w:p w14:paraId="125A351F">
      <w:pPr>
        <w:spacing w:before="100" w:beforeAutospacing="1" w:after="100" w:afterAutospacing="1" w:line="360" w:lineRule="auto"/>
        <w:jc w:val="both"/>
        <w:outlineLvl w:val="3"/>
        <w:rPr>
          <w:rFonts w:ascii="Times New Roman" w:hAnsi="Times New Roman" w:eastAsia="Times New Roman" w:cs="Times New Roman"/>
          <w:b/>
          <w:bCs/>
          <w:kern w:val="0"/>
          <w:lang w:eastAsia="en-GB"/>
          <w14:ligatures w14:val="none"/>
        </w:rPr>
      </w:pPr>
      <w:r>
        <w:rPr>
          <w:rFonts w:ascii="Times New Roman" w:hAnsi="Times New Roman" w:eastAsia="Times New Roman" w:cs="Times New Roman"/>
          <w:b/>
          <w:bCs/>
          <w:kern w:val="0"/>
          <w:lang w:eastAsia="en-GB"/>
          <w14:ligatures w14:val="none"/>
        </w:rPr>
        <w:t>6.3 Public Perception and Reporting Trends</w:t>
      </w:r>
    </w:p>
    <w:p w14:paraId="49CD9A14">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Public perception plays a crucial role in the effectiveness of electoral laws. When citizens lose trust in the electoral system, they are less likely to report malpractices or vote fraud. Studies have shown that voter apathy and disillusionment with the electoral process are widespread in India, particularly in areas with high levels of corruption</w:t>
      </w:r>
      <w:r>
        <w:rPr>
          <w:rStyle w:val="7"/>
          <w:rFonts w:ascii="Times New Roman" w:hAnsi="Times New Roman" w:eastAsia="Times New Roman" w:cs="Times New Roman"/>
          <w:kern w:val="0"/>
          <w:lang w:eastAsia="en-GB"/>
          <w14:ligatures w14:val="none"/>
        </w:rPr>
        <w:footnoteReference w:id="55"/>
      </w:r>
      <w:r>
        <w:rPr>
          <w:rFonts w:ascii="Times New Roman" w:hAnsi="Times New Roman" w:eastAsia="Times New Roman" w:cs="Times New Roman"/>
          <w:kern w:val="0"/>
          <w:lang w:eastAsia="en-GB"/>
          <w14:ligatures w14:val="none"/>
        </w:rPr>
        <w:t>. Voters may feel that electoral fraud is inevitable or that reporting malpractices would not lead to meaningful consequences</w:t>
      </w:r>
      <w:r>
        <w:rPr>
          <w:rStyle w:val="7"/>
          <w:rFonts w:ascii="Times New Roman" w:hAnsi="Times New Roman" w:eastAsia="Times New Roman" w:cs="Times New Roman"/>
          <w:kern w:val="0"/>
          <w:lang w:eastAsia="en-GB"/>
          <w14:ligatures w14:val="none"/>
        </w:rPr>
        <w:footnoteReference w:id="56"/>
      </w:r>
      <w:r>
        <w:rPr>
          <w:rFonts w:ascii="Times New Roman" w:hAnsi="Times New Roman" w:eastAsia="Times New Roman" w:cs="Times New Roman"/>
          <w:kern w:val="0"/>
          <w:lang w:eastAsia="en-GB"/>
          <w14:ligatures w14:val="none"/>
        </w:rPr>
        <w:t>.</w:t>
      </w:r>
    </w:p>
    <w:p w14:paraId="63AED383">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This perception is reinforced by media coverage of electoral malpractices, which often highlights the failure of authorities to take action. The media can play a positive role in raising awareness about electoral fraud and encouraging citizens to report violations. However, the lack of consistent follow-up from authorities undermines the public’s confidence in the system. In many cases, voters are discouraged from reporting incidents due to the perceived ineffectiveness of the enforcement mechanisms</w:t>
      </w:r>
      <w:r>
        <w:rPr>
          <w:rStyle w:val="7"/>
          <w:rFonts w:ascii="Times New Roman" w:hAnsi="Times New Roman" w:eastAsia="Times New Roman" w:cs="Times New Roman"/>
          <w:kern w:val="0"/>
          <w:lang w:eastAsia="en-GB"/>
          <w14:ligatures w14:val="none"/>
        </w:rPr>
        <w:footnoteReference w:id="57"/>
      </w:r>
      <w:r>
        <w:rPr>
          <w:rFonts w:ascii="Times New Roman" w:hAnsi="Times New Roman" w:eastAsia="Times New Roman" w:cs="Times New Roman"/>
          <w:kern w:val="0"/>
          <w:lang w:eastAsia="en-GB"/>
          <w14:ligatures w14:val="none"/>
        </w:rPr>
        <w:t>.</w:t>
      </w:r>
    </w:p>
    <w:p w14:paraId="088E6FC0">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To address these challenges, public engagement and awareness campaigns are essential. These campaigns can educate citizens about the importance of electoral integrity and how to report fraud, helping to shift public attitudes and restore trust in the electoral process</w:t>
      </w:r>
      <w:r>
        <w:rPr>
          <w:rStyle w:val="7"/>
          <w:rFonts w:ascii="Times New Roman" w:hAnsi="Times New Roman" w:eastAsia="Times New Roman" w:cs="Times New Roman"/>
          <w:kern w:val="0"/>
          <w:lang w:eastAsia="en-GB"/>
          <w14:ligatures w14:val="none"/>
        </w:rPr>
        <w:footnoteReference w:id="58"/>
      </w:r>
      <w:r>
        <w:rPr>
          <w:rFonts w:ascii="Times New Roman" w:hAnsi="Times New Roman" w:eastAsia="Times New Roman" w:cs="Times New Roman"/>
          <w:kern w:val="0"/>
          <w:lang w:eastAsia="en-GB"/>
          <w14:ligatures w14:val="none"/>
        </w:rPr>
        <w:t>. A more proactive approach to engaging the public and ensuring accountability at all levels is needed to enhance the overall effectiveness of the electoral system.</w:t>
      </w:r>
    </w:p>
    <w:p w14:paraId="08BB29DF">
      <w:pPr>
        <w:spacing w:before="100" w:beforeAutospacing="1" w:after="100" w:afterAutospacing="1" w:line="360" w:lineRule="auto"/>
        <w:ind w:left="720"/>
        <w:jc w:val="both"/>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Public engagement and awareness campaigns are key to improving the public's trust in electoral laws and encouraging greater participation in reporting malpractices</w:t>
      </w:r>
      <w:r>
        <w:rPr>
          <w:rStyle w:val="7"/>
          <w:rFonts w:ascii="Times New Roman" w:hAnsi="Times New Roman" w:eastAsia="Times New Roman" w:cs="Times New Roman"/>
          <w:kern w:val="0"/>
          <w:lang w:eastAsia="en-GB"/>
          <w14:ligatures w14:val="none"/>
        </w:rPr>
        <w:footnoteReference w:id="59"/>
      </w:r>
      <w:r>
        <w:rPr>
          <w:rFonts w:ascii="Times New Roman" w:hAnsi="Times New Roman" w:eastAsia="Times New Roman" w:cs="Times New Roman"/>
          <w:kern w:val="0"/>
          <w:lang w:eastAsia="en-GB"/>
          <w14:ligatures w14:val="none"/>
        </w:rPr>
        <w:t>.</w:t>
      </w:r>
    </w:p>
    <w:p w14:paraId="5898F93B">
      <w:pPr>
        <w:pStyle w:val="2"/>
        <w:numPr>
          <w:ilvl w:val="0"/>
          <w:numId w:val="16"/>
        </w:numPr>
        <w:spacing w:line="360" w:lineRule="auto"/>
        <w:jc w:val="both"/>
        <w:rPr>
          <w:sz w:val="24"/>
          <w:szCs w:val="24"/>
        </w:rPr>
      </w:pPr>
      <w:r>
        <w:rPr>
          <w:rStyle w:val="10"/>
          <w:b/>
          <w:bCs/>
          <w:sz w:val="24"/>
          <w:szCs w:val="24"/>
        </w:rPr>
        <w:t>PATHWAYS FOR STRENGTHENING ELECTORAL INTEGRITY IN INDIA</w:t>
      </w:r>
    </w:p>
    <w:p w14:paraId="1EDF4426">
      <w:pPr>
        <w:pStyle w:val="9"/>
        <w:spacing w:line="360" w:lineRule="auto"/>
        <w:ind w:left="360"/>
        <w:jc w:val="both"/>
      </w:pPr>
      <w:r>
        <w:t>India faces several challenges in ensuring electoral integrity, ranging from political influence to logistical inefficiencies in election management. However, there are numerous pathways that can be explored to improve the current framework and address these issues. This section explores several proposals, including legal reforms, capacity building for law enforcement, public engagement, technological interventions, and campaign finance transparency.</w:t>
      </w:r>
    </w:p>
    <w:p w14:paraId="61723124">
      <w:pPr>
        <w:pStyle w:val="3"/>
        <w:spacing w:line="360" w:lineRule="auto"/>
        <w:jc w:val="both"/>
      </w:pPr>
      <w:r>
        <w:rPr>
          <w:rStyle w:val="10"/>
          <w:b/>
          <w:bCs/>
        </w:rPr>
        <w:t>7.1 Legal Reforms</w:t>
      </w:r>
    </w:p>
    <w:p w14:paraId="1493C57A">
      <w:pPr>
        <w:pStyle w:val="9"/>
        <w:spacing w:line="360" w:lineRule="auto"/>
        <w:ind w:left="720"/>
        <w:jc w:val="both"/>
      </w:pPr>
      <w:r>
        <w:t xml:space="preserve">One of the most critical areas for improving electoral integrity in India is the reform of the legal framework. While existing laws like the </w:t>
      </w:r>
      <w:r>
        <w:rPr>
          <w:rStyle w:val="10"/>
        </w:rPr>
        <w:t>Representation of the People Act (RPA), 1951</w:t>
      </w:r>
      <w:r>
        <w:t xml:space="preserve">, and the </w:t>
      </w:r>
      <w:r>
        <w:rPr>
          <w:rStyle w:val="10"/>
        </w:rPr>
        <w:t>Bharatiya Nyaya Sanhita (BNS)</w:t>
      </w:r>
      <w:r>
        <w:t xml:space="preserve"> provide a foundation for ensuring fair elections, the enforcement of these laws often fails due to outdated procedures, loopholes, and judicial delays</w:t>
      </w:r>
      <w:r>
        <w:rPr>
          <w:rStyle w:val="7"/>
        </w:rPr>
        <w:footnoteReference w:id="60"/>
      </w:r>
      <w:r>
        <w:t>.</w:t>
      </w:r>
    </w:p>
    <w:p w14:paraId="373E4933">
      <w:pPr>
        <w:pStyle w:val="9"/>
        <w:spacing w:line="360" w:lineRule="auto"/>
        <w:ind w:left="720"/>
        <w:jc w:val="both"/>
      </w:pPr>
      <w:r>
        <w:t xml:space="preserve">A major reform proposal is the establishment of </w:t>
      </w:r>
      <w:r>
        <w:rPr>
          <w:rStyle w:val="10"/>
        </w:rPr>
        <w:t>fast-track election tribunals</w:t>
      </w:r>
      <w:r>
        <w:t>. This would allow election-related disputes to be adjudicated more efficiently, avoiding the current delays that often leave malpractices unaddressed. By creating specialized courts or tribunals with expertise in electoral issues, India could ensure faster resolutions of electoral disputes, enhancing public confidence in the system</w:t>
      </w:r>
      <w:r>
        <w:rPr>
          <w:rStyle w:val="7"/>
        </w:rPr>
        <w:footnoteReference w:id="61"/>
      </w:r>
      <w:r>
        <w:t xml:space="preserve">. Additionally, giving the </w:t>
      </w:r>
      <w:r>
        <w:rPr>
          <w:rStyle w:val="10"/>
        </w:rPr>
        <w:t>Election Commission of India (ECI)</w:t>
      </w:r>
      <w:r>
        <w:t xml:space="preserve"> more powers to monitor and investigate electoral malpractices could help reduce the influence of political power on election outcomes</w:t>
      </w:r>
      <w:r>
        <w:rPr>
          <w:rStyle w:val="7"/>
        </w:rPr>
        <w:footnoteReference w:id="62"/>
      </w:r>
      <w:r>
        <w:t>.</w:t>
      </w:r>
    </w:p>
    <w:p w14:paraId="0F756B02">
      <w:pPr>
        <w:pStyle w:val="9"/>
        <w:spacing w:line="360" w:lineRule="auto"/>
        <w:ind w:left="720"/>
        <w:jc w:val="both"/>
      </w:pPr>
      <w:r>
        <w:t>Expanding the powers of the ECI to monitor campaign finance more effectively is also a key aspect of legal reform. Currently, political parties and candidates often exploit loopholes in financial reporting, allowing them to bypass regulations. Strengthening the transparency of campaign financing would help curb corruption and ensure that electoral outcomes are not unduly influenced by illicit financial flows</w:t>
      </w:r>
      <w:r>
        <w:rPr>
          <w:rStyle w:val="7"/>
        </w:rPr>
        <w:footnoteReference w:id="63"/>
      </w:r>
      <w:r>
        <w:t>.</w:t>
      </w:r>
    </w:p>
    <w:p w14:paraId="36E8AC94">
      <w:pPr>
        <w:pStyle w:val="9"/>
        <w:spacing w:line="360" w:lineRule="auto"/>
        <w:ind w:left="720"/>
        <w:jc w:val="both"/>
      </w:pPr>
      <w:r>
        <w:t>Legal reforms such as fast-track tribunals and expanded ECI powers could significantly improve India’s electoral integrity by addressing delays and enhancing enforcement</w:t>
      </w:r>
      <w:r>
        <w:rPr>
          <w:rStyle w:val="7"/>
        </w:rPr>
        <w:footnoteReference w:id="64"/>
      </w:r>
      <w:r>
        <w:t>.</w:t>
      </w:r>
    </w:p>
    <w:p w14:paraId="12405DB3">
      <w:pPr>
        <w:pStyle w:val="3"/>
        <w:spacing w:line="360" w:lineRule="auto"/>
        <w:jc w:val="both"/>
      </w:pPr>
      <w:r>
        <w:rPr>
          <w:rStyle w:val="10"/>
          <w:b/>
          <w:bCs/>
        </w:rPr>
        <w:t>7.2 Capacity Building for Law Enforcement</w:t>
      </w:r>
    </w:p>
    <w:p w14:paraId="5AA6E899">
      <w:pPr>
        <w:pStyle w:val="9"/>
        <w:spacing w:line="360" w:lineRule="auto"/>
        <w:ind w:left="720"/>
        <w:jc w:val="both"/>
      </w:pPr>
      <w:r>
        <w:t xml:space="preserve">While legal reforms are essential, their effectiveness hinges on the capacity of law enforcement agencies to implement them. The </w:t>
      </w:r>
      <w:r>
        <w:rPr>
          <w:rStyle w:val="10"/>
        </w:rPr>
        <w:t>Election Commission of India (ECI)</w:t>
      </w:r>
      <w:r>
        <w:t xml:space="preserve"> and other law enforcement bodies need to be better equipped to handle electoral fraud, including vote buying, bribery, and voter intimidation.</w:t>
      </w:r>
    </w:p>
    <w:p w14:paraId="16A28977">
      <w:pPr>
        <w:pStyle w:val="9"/>
        <w:spacing w:line="360" w:lineRule="auto"/>
        <w:ind w:left="720"/>
        <w:jc w:val="both"/>
      </w:pPr>
      <w:r>
        <w:t xml:space="preserve">One of the key issues is the lack of </w:t>
      </w:r>
      <w:r>
        <w:rPr>
          <w:rStyle w:val="10"/>
        </w:rPr>
        <w:t>adequate training</w:t>
      </w:r>
      <w:r>
        <w:t xml:space="preserve"> for law enforcement officers and election monitors. To address this, </w:t>
      </w:r>
      <w:r>
        <w:rPr>
          <w:rStyle w:val="10"/>
        </w:rPr>
        <w:t>capacity-building programs</w:t>
      </w:r>
      <w:r>
        <w:t xml:space="preserve"> should be introduced at both the state and national levels. These programs would provide law enforcement personnel with the skills and knowledge needed to effectively investigate electoral offenses. Additionally, creating specialized units within law enforcement agencies to focus solely on electoral offenses could help ensure that these crimes are given the attention they deserve</w:t>
      </w:r>
      <w:r>
        <w:rPr>
          <w:rStyle w:val="7"/>
        </w:rPr>
        <w:footnoteReference w:id="65"/>
      </w:r>
      <w:r>
        <w:t>.</w:t>
      </w:r>
    </w:p>
    <w:p w14:paraId="28DD87D3">
      <w:pPr>
        <w:pStyle w:val="9"/>
        <w:spacing w:line="360" w:lineRule="auto"/>
        <w:ind w:left="720"/>
        <w:jc w:val="both"/>
      </w:pPr>
      <w:r>
        <w:t xml:space="preserve">Furthermore, improving the </w:t>
      </w:r>
      <w:r>
        <w:rPr>
          <w:rStyle w:val="10"/>
        </w:rPr>
        <w:t>coordination</w:t>
      </w:r>
      <w:r>
        <w:t xml:space="preserve"> between law enforcement agencies, the ECI, and the judiciary would ensure that electoral offenses are prosecuted more efficiently. Coordination would also help streamline investigations, reducing delays and increasing the likelihood of successful convictions</w:t>
      </w:r>
      <w:r>
        <w:rPr>
          <w:rStyle w:val="7"/>
        </w:rPr>
        <w:footnoteReference w:id="66"/>
      </w:r>
      <w:r>
        <w:t>.</w:t>
      </w:r>
    </w:p>
    <w:p w14:paraId="075A7955">
      <w:pPr>
        <w:pStyle w:val="9"/>
        <w:spacing w:line="360" w:lineRule="auto"/>
        <w:ind w:left="720"/>
        <w:jc w:val="both"/>
      </w:pPr>
      <w:r>
        <w:t>Building the capacity of law enforcement agencies and improving coordination with the ECI will help ensure effective enforcement of electoral laws</w:t>
      </w:r>
      <w:r>
        <w:rPr>
          <w:rStyle w:val="7"/>
        </w:rPr>
        <w:footnoteReference w:id="67"/>
      </w:r>
      <w:r>
        <w:t>.</w:t>
      </w:r>
    </w:p>
    <w:p w14:paraId="67F82FF8">
      <w:pPr>
        <w:pStyle w:val="3"/>
        <w:spacing w:line="360" w:lineRule="auto"/>
        <w:jc w:val="both"/>
      </w:pPr>
      <w:r>
        <w:rPr>
          <w:rStyle w:val="10"/>
          <w:b/>
          <w:bCs/>
        </w:rPr>
        <w:t>7.3 Public Engagement and Awareness Campaigns</w:t>
      </w:r>
    </w:p>
    <w:p w14:paraId="3123C4C5">
      <w:pPr>
        <w:pStyle w:val="9"/>
        <w:spacing w:line="360" w:lineRule="auto"/>
        <w:ind w:left="720"/>
        <w:jc w:val="both"/>
      </w:pPr>
      <w:r>
        <w:t>Public trust is a cornerstone of electoral integrity, and without the active involvement of citizens, electoral reforms are unlikely to be effective. Public engagement campaigns are essential to increase awareness about the importance of electoral integrity and encourage citizens to report electoral malpractices.</w:t>
      </w:r>
    </w:p>
    <w:p w14:paraId="35B484CF">
      <w:pPr>
        <w:pStyle w:val="9"/>
        <w:spacing w:line="360" w:lineRule="auto"/>
        <w:ind w:left="720"/>
        <w:jc w:val="both"/>
      </w:pPr>
      <w:r>
        <w:t xml:space="preserve">One proposed measure is to create </w:t>
      </w:r>
      <w:r>
        <w:rPr>
          <w:rStyle w:val="10"/>
        </w:rPr>
        <w:t>nationwide awareness programs</w:t>
      </w:r>
      <w:r>
        <w:t xml:space="preserve"> that educate voters on identifying electoral fraud and understanding how to report it. These campaigns could be conducted in partnership with civil society organizations, media outlets, and educational institutions</w:t>
      </w:r>
      <w:r>
        <w:rPr>
          <w:rStyle w:val="7"/>
        </w:rPr>
        <w:footnoteReference w:id="68"/>
      </w:r>
      <w:r>
        <w:t>. By increasing public awareness, these campaigns could reduce voter apathy and create a more informed electorate that is actively engaged in safeguarding the electoral process.</w:t>
      </w:r>
    </w:p>
    <w:p w14:paraId="6423BCAA">
      <w:pPr>
        <w:pStyle w:val="9"/>
        <w:spacing w:line="360" w:lineRule="auto"/>
        <w:ind w:left="720"/>
        <w:jc w:val="both"/>
      </w:pPr>
      <w:r>
        <w:t xml:space="preserve">Moreover, increasing </w:t>
      </w:r>
      <w:r>
        <w:rPr>
          <w:rStyle w:val="10"/>
        </w:rPr>
        <w:t>public participation</w:t>
      </w:r>
      <w:r>
        <w:t xml:space="preserve"> in election monitoring through volunteer programs could help reduce the incidence of malpractices. Volunteers trained to observe polling stations and report irregularities would act as an additional layer of scrutiny, helping deter fraud</w:t>
      </w:r>
      <w:r>
        <w:rPr>
          <w:rStyle w:val="7"/>
        </w:rPr>
        <w:footnoteReference w:id="69"/>
      </w:r>
      <w:r>
        <w:t>.</w:t>
      </w:r>
    </w:p>
    <w:p w14:paraId="497F96EF">
      <w:pPr>
        <w:pStyle w:val="9"/>
        <w:spacing w:line="360" w:lineRule="auto"/>
        <w:ind w:left="720"/>
        <w:jc w:val="both"/>
      </w:pPr>
      <w:r>
        <w:t>Public engagement and awareness campaigns, along with increased participation in election monitoring, could empower citizens to protect the integrity of elections</w:t>
      </w:r>
      <w:r>
        <w:rPr>
          <w:rStyle w:val="7"/>
        </w:rPr>
        <w:footnoteReference w:id="70"/>
      </w:r>
      <w:r>
        <w:t>.</w:t>
      </w:r>
    </w:p>
    <w:p w14:paraId="3F7EB372">
      <w:pPr>
        <w:pStyle w:val="3"/>
        <w:spacing w:line="360" w:lineRule="auto"/>
        <w:jc w:val="both"/>
      </w:pPr>
      <w:r>
        <w:rPr>
          <w:rStyle w:val="10"/>
          <w:b/>
          <w:bCs/>
        </w:rPr>
        <w:t>7.4 Technological Interventions in Digital Oversight</w:t>
      </w:r>
    </w:p>
    <w:p w14:paraId="600EEDCD">
      <w:pPr>
        <w:pStyle w:val="9"/>
        <w:spacing w:line="360" w:lineRule="auto"/>
        <w:ind w:left="720"/>
        <w:jc w:val="both"/>
      </w:pPr>
      <w:r>
        <w:t xml:space="preserve">The role of </w:t>
      </w:r>
      <w:r>
        <w:rPr>
          <w:rStyle w:val="10"/>
        </w:rPr>
        <w:t>technology</w:t>
      </w:r>
      <w:r>
        <w:t xml:space="preserve"> in ensuring electoral integrity has grown in importance, particularly as India continues to modernize its electoral process. One key proposal is the </w:t>
      </w:r>
      <w:r>
        <w:rPr>
          <w:rStyle w:val="10"/>
        </w:rPr>
        <w:t>expansion of electronic voting systems</w:t>
      </w:r>
      <w:r>
        <w:t>. While India has already implemented electronic voting machines (EVMs), the adoption of more advanced systems, such as biometric voter identification, could help prevent impersonation and fraudulent voting</w:t>
      </w:r>
      <w:r>
        <w:rPr>
          <w:rStyle w:val="7"/>
        </w:rPr>
        <w:footnoteReference w:id="71"/>
      </w:r>
      <w:r>
        <w:t>.</w:t>
      </w:r>
    </w:p>
    <w:p w14:paraId="1087D79C">
      <w:pPr>
        <w:pStyle w:val="9"/>
        <w:spacing w:line="360" w:lineRule="auto"/>
        <w:ind w:left="720"/>
        <w:jc w:val="both"/>
      </w:pPr>
      <w:r>
        <w:t xml:space="preserve">Additionally, technology can play a critical role in monitoring and detecting electoral fraud. The use of </w:t>
      </w:r>
      <w:r>
        <w:rPr>
          <w:rStyle w:val="10"/>
        </w:rPr>
        <w:t>big data analytics</w:t>
      </w:r>
      <w:r>
        <w:t xml:space="preserve"> and </w:t>
      </w:r>
      <w:r>
        <w:rPr>
          <w:rStyle w:val="10"/>
        </w:rPr>
        <w:t>artificial intelligence (AI)</w:t>
      </w:r>
      <w:r>
        <w:t xml:space="preserve"> could help identify patterns of fraudulent activity, such as illegal campaigning or the distribution of bribes</w:t>
      </w:r>
      <w:r>
        <w:rPr>
          <w:rStyle w:val="7"/>
        </w:rPr>
        <w:footnoteReference w:id="72"/>
      </w:r>
      <w:r>
        <w:t>. For example, AI can be used to monitor social media platforms for misinformation or hate speech during elections. By tracking online narratives, authorities can take action against the spread of fake news or inflammatory content that could influence voter behavior.</w:t>
      </w:r>
    </w:p>
    <w:p w14:paraId="6E4A4006">
      <w:pPr>
        <w:pStyle w:val="9"/>
        <w:spacing w:line="360" w:lineRule="auto"/>
        <w:ind w:left="720"/>
        <w:jc w:val="both"/>
      </w:pPr>
      <w:r>
        <w:t xml:space="preserve">Investing in </w:t>
      </w:r>
      <w:r>
        <w:rPr>
          <w:rStyle w:val="10"/>
        </w:rPr>
        <w:t>cybersecurity</w:t>
      </w:r>
      <w:r>
        <w:t xml:space="preserve"> is also crucial to protect the integrity of the digital voting systems. As electoral systems become more digitized, they also become more vulnerable to hacking and manipulation. Ensuring robust cybersecurity measures will help safeguard the election process from digital threats</w:t>
      </w:r>
      <w:r>
        <w:rPr>
          <w:rStyle w:val="7"/>
        </w:rPr>
        <w:footnoteReference w:id="73"/>
      </w:r>
      <w:r>
        <w:t>.</w:t>
      </w:r>
    </w:p>
    <w:p w14:paraId="3F1B6386">
      <w:pPr>
        <w:pStyle w:val="9"/>
        <w:spacing w:line="360" w:lineRule="auto"/>
        <w:ind w:left="720"/>
        <w:jc w:val="both"/>
      </w:pPr>
      <w:r>
        <w:t>Technological innovations, such as biometric identification and AI-powered fraud detection, could significantly improve the transparency and security of elections in India</w:t>
      </w:r>
      <w:r>
        <w:rPr>
          <w:rStyle w:val="7"/>
        </w:rPr>
        <w:footnoteReference w:id="74"/>
      </w:r>
      <w:r>
        <w:t>.</w:t>
      </w:r>
    </w:p>
    <w:p w14:paraId="37799F2F">
      <w:pPr>
        <w:pStyle w:val="3"/>
        <w:spacing w:line="360" w:lineRule="auto"/>
        <w:jc w:val="both"/>
      </w:pPr>
      <w:r>
        <w:rPr>
          <w:rStyle w:val="10"/>
          <w:b/>
          <w:bCs/>
        </w:rPr>
        <w:t>7.5 Campaign Finance Transparency and Reforms</w:t>
      </w:r>
    </w:p>
    <w:p w14:paraId="5FE862A7">
      <w:pPr>
        <w:pStyle w:val="9"/>
        <w:spacing w:line="360" w:lineRule="auto"/>
        <w:ind w:left="720"/>
        <w:jc w:val="both"/>
      </w:pPr>
      <w:r>
        <w:t xml:space="preserve">The issue of </w:t>
      </w:r>
      <w:r>
        <w:rPr>
          <w:rStyle w:val="10"/>
        </w:rPr>
        <w:t>campaign finance</w:t>
      </w:r>
      <w:r>
        <w:t xml:space="preserve"> remains one of the most significant challenges to electoral integrity in India. The current system allows for substantial </w:t>
      </w:r>
      <w:r>
        <w:rPr>
          <w:rStyle w:val="10"/>
        </w:rPr>
        <w:t>undisclosed political contributions</w:t>
      </w:r>
      <w:r>
        <w:t>, often from anonymous sources. This creates an environment in which political parties can be heavily influenced by powerful donors, distorting the democratic process</w:t>
      </w:r>
      <w:r>
        <w:rPr>
          <w:rStyle w:val="7"/>
        </w:rPr>
        <w:footnoteReference w:id="75"/>
      </w:r>
      <w:r>
        <w:t>.</w:t>
      </w:r>
    </w:p>
    <w:p w14:paraId="5471F2A0">
      <w:pPr>
        <w:pStyle w:val="9"/>
        <w:spacing w:line="360" w:lineRule="auto"/>
        <w:ind w:left="720"/>
        <w:jc w:val="both"/>
      </w:pPr>
      <w:r>
        <w:t xml:space="preserve">One of the most important reforms is the </w:t>
      </w:r>
      <w:r>
        <w:rPr>
          <w:rStyle w:val="10"/>
        </w:rPr>
        <w:t>greater transparency of political donations</w:t>
      </w:r>
      <w:r>
        <w:t>. Legislation requiring full disclosure of political contributions and expenditures could help prevent money laundering and ensure that candidates and parties are held accountable for their financial dealings</w:t>
      </w:r>
      <w:r>
        <w:rPr>
          <w:rStyle w:val="7"/>
        </w:rPr>
        <w:footnoteReference w:id="76"/>
      </w:r>
      <w:r>
        <w:t xml:space="preserve">. Furthermore, implementing </w:t>
      </w:r>
      <w:r>
        <w:rPr>
          <w:rStyle w:val="10"/>
        </w:rPr>
        <w:t>public financing of campaigns</w:t>
      </w:r>
      <w:r>
        <w:t xml:space="preserve"> for eligible candidates would reduce the dependency on private donations and mitigate the influence of money in elections</w:t>
      </w:r>
      <w:r>
        <w:rPr>
          <w:rStyle w:val="7"/>
        </w:rPr>
        <w:footnoteReference w:id="77"/>
      </w:r>
      <w:r>
        <w:t>.</w:t>
      </w:r>
    </w:p>
    <w:p w14:paraId="7D5534D0">
      <w:pPr>
        <w:pStyle w:val="9"/>
        <w:spacing w:line="360" w:lineRule="auto"/>
        <w:ind w:left="720"/>
        <w:jc w:val="both"/>
      </w:pPr>
      <w:r>
        <w:t>Reforms aimed at improving campaign finance transparency and introducing public financing could help reduce the corrupting influence of money in elections</w:t>
      </w:r>
      <w:r>
        <w:rPr>
          <w:rStyle w:val="7"/>
        </w:rPr>
        <w:footnoteReference w:id="78"/>
      </w:r>
      <w:r>
        <w:t>.</w:t>
      </w:r>
    </w:p>
    <w:p w14:paraId="3FE88ECE">
      <w:pPr>
        <w:pStyle w:val="2"/>
        <w:numPr>
          <w:ilvl w:val="0"/>
          <w:numId w:val="16"/>
        </w:numPr>
        <w:spacing w:line="360" w:lineRule="auto"/>
        <w:jc w:val="both"/>
        <w:rPr>
          <w:sz w:val="24"/>
          <w:szCs w:val="24"/>
        </w:rPr>
      </w:pPr>
      <w:r>
        <w:rPr>
          <w:rStyle w:val="10"/>
          <w:b/>
          <w:bCs/>
          <w:sz w:val="24"/>
          <w:szCs w:val="24"/>
        </w:rPr>
        <w:t xml:space="preserve"> CONCLUSION</w:t>
      </w:r>
    </w:p>
    <w:p w14:paraId="35A2AAF6">
      <w:pPr>
        <w:pStyle w:val="9"/>
        <w:spacing w:line="360" w:lineRule="auto"/>
        <w:ind w:left="360"/>
        <w:jc w:val="both"/>
      </w:pPr>
      <w:r>
        <w:t>Electoral integrity is foundational to the health of any democracy, as it ensures that elections are free, fair, and transparent. In India, while there is a strong legal framework designed to safeguard electoral processes, significant challenges remain in its enforcement, effectiveness, and public trust. This paper has explored various electoral malpractices, the existing legal framework, enforcement challenges, and the comparative international practices that can offer valuable insights for India.</w:t>
      </w:r>
    </w:p>
    <w:p w14:paraId="534D8A3D">
      <w:pPr>
        <w:pStyle w:val="9"/>
        <w:spacing w:line="360" w:lineRule="auto"/>
        <w:ind w:left="360"/>
        <w:jc w:val="both"/>
      </w:pPr>
      <w:r>
        <w:t xml:space="preserve">Despite the well-established laws, including the </w:t>
      </w:r>
      <w:r>
        <w:rPr>
          <w:rStyle w:val="10"/>
        </w:rPr>
        <w:t>Representation of the People Act (RPA), 1951</w:t>
      </w:r>
      <w:r>
        <w:t xml:space="preserve">, and the </w:t>
      </w:r>
      <w:r>
        <w:rPr>
          <w:rStyle w:val="10"/>
        </w:rPr>
        <w:t>Bharatiya Nyaya Sanhita (BNS)</w:t>
      </w:r>
      <w:r>
        <w:t>, electoral malpractices such as vote buying, voter suppression, and election manipulation persist due to weaknesses in enforcement, delayed judicial processes, and political influence. Public perception of electoral integrity is often undermined by the lack of accountability and the slow pace of legal proceedings. The existing deterrents are not sufficient to prevent malpractices, as evidenced by several case studies of unpunished violations during elections.</w:t>
      </w:r>
    </w:p>
    <w:p w14:paraId="6DA72B4A">
      <w:pPr>
        <w:pStyle w:val="9"/>
        <w:spacing w:line="360" w:lineRule="auto"/>
        <w:ind w:left="360"/>
        <w:jc w:val="both"/>
      </w:pPr>
      <w:r>
        <w:t xml:space="preserve">To enhance electoral integrity in India, this paper has outlined key recommendations, including the establishment of </w:t>
      </w:r>
      <w:r>
        <w:rPr>
          <w:rStyle w:val="10"/>
        </w:rPr>
        <w:t>fast-track election tribunals</w:t>
      </w:r>
      <w:r>
        <w:t xml:space="preserve">, </w:t>
      </w:r>
      <w:r>
        <w:rPr>
          <w:rStyle w:val="10"/>
        </w:rPr>
        <w:t>expanded powers for the Election Commission of India (ECI)</w:t>
      </w:r>
      <w:r>
        <w:t xml:space="preserve">, </w:t>
      </w:r>
      <w:r>
        <w:rPr>
          <w:rStyle w:val="10"/>
        </w:rPr>
        <w:t>capacity-building for law enforcement</w:t>
      </w:r>
      <w:r>
        <w:t xml:space="preserve">, </w:t>
      </w:r>
      <w:r>
        <w:rPr>
          <w:rStyle w:val="10"/>
        </w:rPr>
        <w:t>increased public engagement</w:t>
      </w:r>
      <w:r>
        <w:t xml:space="preserve"> through awareness campaigns, and </w:t>
      </w:r>
      <w:r>
        <w:rPr>
          <w:rStyle w:val="10"/>
        </w:rPr>
        <w:t>technological interventions</w:t>
      </w:r>
      <w:r>
        <w:t xml:space="preserve"> like biometric identification and AI for detecting fraud. Reforming </w:t>
      </w:r>
      <w:r>
        <w:rPr>
          <w:rStyle w:val="10"/>
        </w:rPr>
        <w:t>campaign finance transparency</w:t>
      </w:r>
      <w:r>
        <w:t xml:space="preserve"> also plays a crucial role in reducing the influence of money in politics, ensuring that elections are not bought.</w:t>
      </w:r>
    </w:p>
    <w:p w14:paraId="5B617122">
      <w:pPr>
        <w:pStyle w:val="9"/>
        <w:spacing w:line="360" w:lineRule="auto"/>
        <w:ind w:left="360"/>
        <w:jc w:val="both"/>
      </w:pPr>
      <w:r>
        <w:t>Implementing these reforms would address the gaps in the current system, ensuring that electoral processes are not only legally sound but also perceived as fair and accountable by the public. Legal reforms must be accompanied by robust enforcement mechanisms and a commitment to transparency at every level of the electoral process. Furthermore, fostering public awareness and engagement is essential to ensure that citizens actively participate in protecting the integrity of elections.</w:t>
      </w:r>
    </w:p>
    <w:p w14:paraId="7A1A2636">
      <w:pPr>
        <w:pStyle w:val="9"/>
        <w:spacing w:line="360" w:lineRule="auto"/>
        <w:ind w:left="360"/>
        <w:jc w:val="both"/>
      </w:pPr>
      <w:r>
        <w:t>In conclusion, the path to strengthening electoral integrity in India requires a multi-pronged approach, combining legal, technological, and social reforms. Only through holistic changes can India safeguard the fairness of its elections and uphold the democratic principles on which its political system is built.</w:t>
      </w:r>
    </w:p>
    <w:p w14:paraId="6D235C4D">
      <w:pPr>
        <w:spacing w:line="360" w:lineRule="auto"/>
        <w:ind w:left="360"/>
        <w:jc w:val="both"/>
        <w:rPr>
          <w:rFonts w:ascii="Times New Roman" w:hAnsi="Times New Roman" w:eastAsia="Times New Roman" w:cs="Times New Roman"/>
          <w:kern w:val="0"/>
          <w:lang w:eastAsia="en-GB"/>
          <w14:ligatures w14:val="none"/>
        </w:rPr>
      </w:pPr>
    </w:p>
    <w:p w14:paraId="2BE86F68">
      <w:pPr>
        <w:spacing w:before="100" w:beforeAutospacing="1" w:after="100" w:afterAutospacing="1" w:line="360" w:lineRule="auto"/>
        <w:jc w:val="both"/>
        <w:rPr>
          <w:rFonts w:ascii="Times New Roman" w:hAnsi="Times New Roman" w:eastAsia="Times New Roman" w:cs="Times New Roman"/>
          <w:kern w:val="0"/>
          <w:lang w:eastAsia="en-GB"/>
          <w14:ligatures w14:val="none"/>
        </w:rPr>
      </w:pPr>
    </w:p>
    <w:sectPr>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decorative"/>
    <w:pitch w:val="default"/>
    <w:sig w:usb0="00000000" w:usb1="00000000" w:usb2="00000000" w:usb3="00000000" w:csb0="80000001" w:csb1="00000000"/>
  </w:font>
  <w:font w:name="Wingdings">
    <w:panose1 w:val="05000000000000000000"/>
    <w:charset w:val="4D"/>
    <w:family w:val="decorative"/>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58">
    <w:p>
      <w:r>
        <w:separator/>
      </w:r>
    </w:p>
  </w:footnote>
  <w:footnote w:type="continuationSeparator" w:id="159">
    <w:p>
      <w:r>
        <w:continuationSeparator/>
      </w:r>
    </w:p>
  </w:footnote>
  <w:footnote w:id="0">
    <w:p w14:paraId="32CEBCD6">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w:t>
      </w:r>
      <w:r>
        <w:rPr>
          <w:rStyle w:val="10"/>
          <w:rFonts w:ascii="Times New Roman" w:hAnsi="Times New Roman" w:cs="Times New Roman"/>
          <w:b w:val="0"/>
          <w:bCs w:val="0"/>
        </w:rPr>
        <w:t>United Nations.</w:t>
      </w:r>
      <w:r>
        <w:rPr>
          <w:rFonts w:ascii="Times New Roman" w:hAnsi="Times New Roman" w:cs="Times New Roman"/>
        </w:rPr>
        <w:t xml:space="preserve"> </w:t>
      </w:r>
      <w:r>
        <w:rPr>
          <w:rStyle w:val="6"/>
          <w:rFonts w:ascii="Times New Roman" w:hAnsi="Times New Roman" w:cs="Times New Roman"/>
        </w:rPr>
        <w:t>Universal Declaration of Human Rights.</w:t>
      </w:r>
      <w:r>
        <w:rPr>
          <w:rFonts w:ascii="Times New Roman" w:hAnsi="Times New Roman" w:cs="Times New Roman"/>
        </w:rPr>
        <w:t xml:space="preserve"> 10 Dec. 1948, United Nations General Assembly Res. 217 A (III), art. 21.</w:t>
      </w:r>
    </w:p>
  </w:footnote>
  <w:footnote w:id="1">
    <w:p w14:paraId="1F5DB0D3">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w:t>
      </w:r>
      <w:r>
        <w:rPr>
          <w:rStyle w:val="10"/>
          <w:rFonts w:ascii="Times New Roman" w:hAnsi="Times New Roman" w:cs="Times New Roman"/>
          <w:b w:val="0"/>
          <w:bCs w:val="0"/>
        </w:rPr>
        <w:t>India.</w:t>
      </w:r>
      <w:r>
        <w:rPr>
          <w:rFonts w:ascii="Times New Roman" w:hAnsi="Times New Roman" w:cs="Times New Roman"/>
        </w:rPr>
        <w:t xml:space="preserve"> </w:t>
      </w:r>
      <w:r>
        <w:rPr>
          <w:rStyle w:val="6"/>
          <w:rFonts w:ascii="Times New Roman" w:hAnsi="Times New Roman" w:cs="Times New Roman"/>
        </w:rPr>
        <w:t>Representation of the People Act, 1951.</w:t>
      </w:r>
      <w:r>
        <w:rPr>
          <w:rFonts w:ascii="Times New Roman" w:hAnsi="Times New Roman" w:cs="Times New Roman"/>
        </w:rPr>
        <w:t xml:space="preserve"> No. 43 of 1951, Government of India, 1951.</w:t>
      </w:r>
    </w:p>
  </w:footnote>
  <w:footnote w:id="2">
    <w:p w14:paraId="6ED13EC0">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w:t>
      </w:r>
      <w:r>
        <w:rPr>
          <w:rStyle w:val="10"/>
          <w:rFonts w:ascii="Times New Roman" w:hAnsi="Times New Roman" w:cs="Times New Roman"/>
          <w:b w:val="0"/>
          <w:bCs w:val="0"/>
        </w:rPr>
        <w:t>Election Commission of India.</w:t>
      </w:r>
      <w:r>
        <w:rPr>
          <w:rFonts w:ascii="Times New Roman" w:hAnsi="Times New Roman" w:cs="Times New Roman"/>
        </w:rPr>
        <w:t xml:space="preserve"> </w:t>
      </w:r>
      <w:r>
        <w:rPr>
          <w:rStyle w:val="6"/>
          <w:rFonts w:ascii="Times New Roman" w:hAnsi="Times New Roman" w:cs="Times New Roman"/>
        </w:rPr>
        <w:t>Handbook for Returning Officers.</w:t>
      </w:r>
      <w:r>
        <w:rPr>
          <w:rFonts w:ascii="Times New Roman" w:hAnsi="Times New Roman" w:cs="Times New Roman"/>
        </w:rPr>
        <w:t xml:space="preserve"> Election Commission of India, 2021.</w:t>
      </w:r>
    </w:p>
  </w:footnote>
  <w:footnote w:id="3">
    <w:p w14:paraId="5B396555">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w:t>
      </w:r>
      <w:r>
        <w:rPr>
          <w:rStyle w:val="10"/>
          <w:rFonts w:ascii="Times New Roman" w:hAnsi="Times New Roman" w:cs="Times New Roman"/>
          <w:b w:val="0"/>
          <w:bCs w:val="0"/>
        </w:rPr>
        <w:t>Chimni, B. S.</w:t>
      </w:r>
      <w:r>
        <w:rPr>
          <w:rFonts w:ascii="Times New Roman" w:hAnsi="Times New Roman" w:cs="Times New Roman"/>
        </w:rPr>
        <w:t xml:space="preserve"> </w:t>
      </w:r>
      <w:r>
        <w:rPr>
          <w:rStyle w:val="6"/>
          <w:rFonts w:ascii="Times New Roman" w:hAnsi="Times New Roman" w:cs="Times New Roman"/>
        </w:rPr>
        <w:t>International Law and World Order: A Critique of Contemporary Approaches.</w:t>
      </w:r>
      <w:r>
        <w:rPr>
          <w:rFonts w:ascii="Times New Roman" w:hAnsi="Times New Roman" w:cs="Times New Roman"/>
        </w:rPr>
        <w:t xml:space="preserve"> 2nd ed., Cambridge University Press, 2017, p. 213.</w:t>
      </w:r>
    </w:p>
  </w:footnote>
  <w:footnote w:id="4">
    <w:p w14:paraId="349DF830">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w:t>
      </w:r>
      <w:r>
        <w:rPr>
          <w:rStyle w:val="10"/>
          <w:rFonts w:ascii="Times New Roman" w:hAnsi="Times New Roman" w:cs="Times New Roman"/>
          <w:b w:val="0"/>
          <w:bCs w:val="0"/>
        </w:rPr>
        <w:t>India.</w:t>
      </w:r>
      <w:r>
        <w:rPr>
          <w:rFonts w:ascii="Times New Roman" w:hAnsi="Times New Roman" w:cs="Times New Roman"/>
        </w:rPr>
        <w:t xml:space="preserve"> </w:t>
      </w:r>
      <w:r>
        <w:rPr>
          <w:rStyle w:val="6"/>
          <w:rFonts w:ascii="Times New Roman" w:hAnsi="Times New Roman" w:cs="Times New Roman"/>
        </w:rPr>
        <w:t>Bharatiya Nyaya Sanhita, 2023.</w:t>
      </w:r>
      <w:r>
        <w:rPr>
          <w:rFonts w:ascii="Times New Roman" w:hAnsi="Times New Roman" w:cs="Times New Roman"/>
        </w:rPr>
        <w:t xml:space="preserve"> No. 3 of 2023, Government of India, 2023.</w:t>
      </w:r>
    </w:p>
  </w:footnote>
  <w:footnote w:id="5">
    <w:p w14:paraId="20D936F7">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w:t>
      </w:r>
      <w:r>
        <w:rPr>
          <w:rStyle w:val="10"/>
          <w:rFonts w:ascii="Times New Roman" w:hAnsi="Times New Roman" w:cs="Times New Roman"/>
          <w:b w:val="0"/>
          <w:bCs w:val="0"/>
        </w:rPr>
        <w:t>Ghosh, N. K.</w:t>
      </w:r>
      <w:r>
        <w:rPr>
          <w:rFonts w:ascii="Times New Roman" w:hAnsi="Times New Roman" w:cs="Times New Roman"/>
        </w:rPr>
        <w:t xml:space="preserve"> “Bribery in Elections: A Challenge to Electoral Integrity.” </w:t>
      </w:r>
      <w:r>
        <w:rPr>
          <w:rStyle w:val="6"/>
          <w:rFonts w:ascii="Times New Roman" w:hAnsi="Times New Roman" w:cs="Times New Roman"/>
        </w:rPr>
        <w:t>Journal of Election Studies</w:t>
      </w:r>
      <w:r>
        <w:rPr>
          <w:rFonts w:ascii="Times New Roman" w:hAnsi="Times New Roman" w:cs="Times New Roman"/>
        </w:rPr>
        <w:t>, vol. 34, no. 1, 2019, pp. 101-105.</w:t>
      </w:r>
    </w:p>
  </w:footnote>
  <w:footnote w:id="6">
    <w:p w14:paraId="7AF22BD8">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w:t>
      </w:r>
      <w:r>
        <w:rPr>
          <w:rStyle w:val="10"/>
          <w:rFonts w:ascii="Times New Roman" w:hAnsi="Times New Roman" w:cs="Times New Roman"/>
          <w:b w:val="0"/>
          <w:bCs w:val="0"/>
        </w:rPr>
        <w:t>Jeyasree, I. S.</w:t>
      </w:r>
      <w:r>
        <w:rPr>
          <w:rFonts w:ascii="Times New Roman" w:hAnsi="Times New Roman" w:cs="Times New Roman"/>
        </w:rPr>
        <w:t xml:space="preserve"> “Voter Suppression and Its Impact on Electoral Integrity in India.” </w:t>
      </w:r>
      <w:r>
        <w:rPr>
          <w:rStyle w:val="6"/>
          <w:rFonts w:ascii="Times New Roman" w:hAnsi="Times New Roman" w:cs="Times New Roman"/>
        </w:rPr>
        <w:t>Journal of Indian Political Science</w:t>
      </w:r>
      <w:r>
        <w:rPr>
          <w:rFonts w:ascii="Times New Roman" w:hAnsi="Times New Roman" w:cs="Times New Roman"/>
        </w:rPr>
        <w:t>, vol. 58, no. 3, 2021, pp. 231-233.</w:t>
      </w:r>
    </w:p>
  </w:footnote>
  <w:footnote w:id="7">
    <w:p w14:paraId="454C3B90">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w:t>
      </w:r>
      <w:r>
        <w:rPr>
          <w:rStyle w:val="10"/>
          <w:rFonts w:ascii="Times New Roman" w:hAnsi="Times New Roman" w:cs="Times New Roman"/>
          <w:b w:val="0"/>
          <w:bCs w:val="0"/>
        </w:rPr>
        <w:t>Ghosh, N. K.</w:t>
      </w:r>
      <w:r>
        <w:rPr>
          <w:rFonts w:ascii="Times New Roman" w:hAnsi="Times New Roman" w:cs="Times New Roman"/>
        </w:rPr>
        <w:t xml:space="preserve"> “Bribery in Elections: A Challenge to Electoral Integrity.” </w:t>
      </w:r>
      <w:r>
        <w:rPr>
          <w:rStyle w:val="6"/>
          <w:rFonts w:ascii="Times New Roman" w:hAnsi="Times New Roman" w:cs="Times New Roman"/>
        </w:rPr>
        <w:t>Journal of Election Studies</w:t>
      </w:r>
      <w:r>
        <w:rPr>
          <w:rFonts w:ascii="Times New Roman" w:hAnsi="Times New Roman" w:cs="Times New Roman"/>
        </w:rPr>
        <w:t>, vol. 34, no. 1, 2019, pp. 101-109.</w:t>
      </w:r>
    </w:p>
  </w:footnote>
  <w:footnote w:id="8">
    <w:p w14:paraId="56C7C75A">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w:t>
      </w:r>
      <w:r>
        <w:rPr>
          <w:rStyle w:val="10"/>
          <w:rFonts w:ascii="Times New Roman" w:hAnsi="Times New Roman" w:cs="Times New Roman"/>
          <w:b w:val="0"/>
          <w:bCs w:val="0"/>
        </w:rPr>
        <w:t>Sharma, Ankur.</w:t>
      </w:r>
      <w:r>
        <w:rPr>
          <w:rFonts w:ascii="Times New Roman" w:hAnsi="Times New Roman" w:cs="Times New Roman"/>
        </w:rPr>
        <w:t xml:space="preserve"> “Combating Voter Fraud: Legal Framework and Challenges in India.” </w:t>
      </w:r>
      <w:r>
        <w:rPr>
          <w:rStyle w:val="6"/>
          <w:rFonts w:ascii="Times New Roman" w:hAnsi="Times New Roman" w:cs="Times New Roman"/>
        </w:rPr>
        <w:t>Indian Journal of Public Administration</w:t>
      </w:r>
      <w:r>
        <w:rPr>
          <w:rFonts w:ascii="Times New Roman" w:hAnsi="Times New Roman" w:cs="Times New Roman"/>
        </w:rPr>
        <w:t>, vol. 12, no. 2, 2018, pp. 145-148.</w:t>
      </w:r>
    </w:p>
  </w:footnote>
  <w:footnote w:id="9">
    <w:p w14:paraId="75056F6C">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w:t>
      </w:r>
      <w:r>
        <w:rPr>
          <w:rStyle w:val="10"/>
          <w:rFonts w:ascii="Times New Roman" w:hAnsi="Times New Roman" w:cs="Times New Roman"/>
          <w:b w:val="0"/>
          <w:bCs w:val="0"/>
        </w:rPr>
        <w:t>Verma, S. P.</w:t>
      </w:r>
      <w:r>
        <w:rPr>
          <w:rFonts w:ascii="Times New Roman" w:hAnsi="Times New Roman" w:cs="Times New Roman"/>
        </w:rPr>
        <w:t xml:space="preserve"> “The Role of Misinformation in Electoral Malpractices.” </w:t>
      </w:r>
      <w:r>
        <w:rPr>
          <w:rStyle w:val="6"/>
          <w:rFonts w:ascii="Times New Roman" w:hAnsi="Times New Roman" w:cs="Times New Roman"/>
        </w:rPr>
        <w:t>Journal of Commonwealth Politics</w:t>
      </w:r>
      <w:r>
        <w:rPr>
          <w:rFonts w:ascii="Times New Roman" w:hAnsi="Times New Roman" w:cs="Times New Roman"/>
        </w:rPr>
        <w:t>, vol. 52, no. 1, 2022, pp. 56-60.</w:t>
      </w:r>
    </w:p>
  </w:footnote>
  <w:footnote w:id="10">
    <w:p w14:paraId="1BC77E9D">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w:t>
      </w:r>
      <w:r>
        <w:rPr>
          <w:rStyle w:val="10"/>
          <w:rFonts w:ascii="Times New Roman" w:hAnsi="Times New Roman" w:cs="Times New Roman"/>
          <w:b w:val="0"/>
          <w:bCs w:val="0"/>
        </w:rPr>
        <w:t>Lal, A. D.</w:t>
      </w:r>
      <w:r>
        <w:rPr>
          <w:rFonts w:ascii="Times New Roman" w:hAnsi="Times New Roman" w:cs="Times New Roman"/>
        </w:rPr>
        <w:t xml:space="preserve"> “The Erosion of Electoral Trust: Causes and Consequences.” </w:t>
      </w:r>
      <w:r>
        <w:rPr>
          <w:rStyle w:val="6"/>
          <w:rFonts w:ascii="Times New Roman" w:hAnsi="Times New Roman" w:cs="Times New Roman"/>
        </w:rPr>
        <w:t>Journal of Political Research</w:t>
      </w:r>
      <w:r>
        <w:rPr>
          <w:rFonts w:ascii="Times New Roman" w:hAnsi="Times New Roman" w:cs="Times New Roman"/>
        </w:rPr>
        <w:t>, vol. 70, no. 4, 2020, pp. 189-192.</w:t>
      </w:r>
    </w:p>
  </w:footnote>
  <w:footnote w:id="11">
    <w:p w14:paraId="747BA760">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w:t>
      </w:r>
      <w:r>
        <w:rPr>
          <w:rStyle w:val="10"/>
          <w:rFonts w:ascii="Times New Roman" w:hAnsi="Times New Roman" w:cs="Times New Roman"/>
          <w:b w:val="0"/>
          <w:bCs w:val="0"/>
        </w:rPr>
        <w:t>Das, M. P.</w:t>
      </w:r>
      <w:r>
        <w:rPr>
          <w:rFonts w:ascii="Times New Roman" w:hAnsi="Times New Roman" w:cs="Times New Roman"/>
        </w:rPr>
        <w:t xml:space="preserve"> “Electoral Integrity and Governance: The Indian Experience.” </w:t>
      </w:r>
      <w:r>
        <w:rPr>
          <w:rStyle w:val="6"/>
          <w:rFonts w:ascii="Times New Roman" w:hAnsi="Times New Roman" w:cs="Times New Roman"/>
        </w:rPr>
        <w:t>Political Science Review</w:t>
      </w:r>
      <w:r>
        <w:rPr>
          <w:rFonts w:ascii="Times New Roman" w:hAnsi="Times New Roman" w:cs="Times New Roman"/>
        </w:rPr>
        <w:t>, vol. 66, no. 2, 2023, pp. 210-215.</w:t>
      </w:r>
    </w:p>
  </w:footnote>
  <w:footnote w:id="12">
    <w:p w14:paraId="04289046">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w:t>
      </w:r>
      <w:r>
        <w:rPr>
          <w:rStyle w:val="10"/>
          <w:rFonts w:ascii="Times New Roman" w:hAnsi="Times New Roman" w:cs="Times New Roman"/>
          <w:b w:val="0"/>
          <w:bCs w:val="0"/>
        </w:rPr>
        <w:t>Sharma, S. K.</w:t>
      </w:r>
      <w:r>
        <w:rPr>
          <w:rFonts w:ascii="Times New Roman" w:hAnsi="Times New Roman" w:cs="Times New Roman"/>
        </w:rPr>
        <w:t xml:space="preserve"> “The Legal Foundations of Electoral Integrity: An Analysis of the Representation of the People Act.” </w:t>
      </w:r>
      <w:r>
        <w:rPr>
          <w:rStyle w:val="6"/>
          <w:rFonts w:ascii="Times New Roman" w:hAnsi="Times New Roman" w:cs="Times New Roman"/>
        </w:rPr>
        <w:t>Journal of Indian Law</w:t>
      </w:r>
      <w:r>
        <w:rPr>
          <w:rFonts w:ascii="Times New Roman" w:hAnsi="Times New Roman" w:cs="Times New Roman"/>
        </w:rPr>
        <w:t>, vol. 14, no. 3, 2019, pp. 78-82.</w:t>
      </w:r>
    </w:p>
  </w:footnote>
  <w:footnote w:id="13">
    <w:p w14:paraId="2E9C8BF7">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w:t>
      </w:r>
      <w:r>
        <w:rPr>
          <w:rStyle w:val="10"/>
          <w:rFonts w:ascii="Times New Roman" w:hAnsi="Times New Roman" w:cs="Times New Roman"/>
          <w:b w:val="0"/>
          <w:bCs w:val="0"/>
        </w:rPr>
        <w:t>Patel, A. R.</w:t>
      </w:r>
      <w:r>
        <w:rPr>
          <w:rFonts w:ascii="Times New Roman" w:hAnsi="Times New Roman" w:cs="Times New Roman"/>
        </w:rPr>
        <w:t xml:space="preserve"> “Electoral Offenses under the Indian Penal Code: A Critical Review.” </w:t>
      </w:r>
      <w:r>
        <w:rPr>
          <w:rStyle w:val="6"/>
          <w:rFonts w:ascii="Times New Roman" w:hAnsi="Times New Roman" w:cs="Times New Roman"/>
        </w:rPr>
        <w:t>Criminal Law Journal</w:t>
      </w:r>
      <w:r>
        <w:rPr>
          <w:rFonts w:ascii="Times New Roman" w:hAnsi="Times New Roman" w:cs="Times New Roman"/>
        </w:rPr>
        <w:t>, vol. 45, no. 2, 2018, pp. 112-115.</w:t>
      </w:r>
    </w:p>
  </w:footnote>
  <w:footnote w:id="14">
    <w:p w14:paraId="640BB68F">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w:t>
      </w:r>
      <w:r>
        <w:rPr>
          <w:rStyle w:val="10"/>
          <w:rFonts w:ascii="Times New Roman" w:hAnsi="Times New Roman" w:cs="Times New Roman"/>
          <w:b w:val="0"/>
          <w:bCs w:val="0"/>
        </w:rPr>
        <w:t>Banerjee, R. M.</w:t>
      </w:r>
      <w:r>
        <w:rPr>
          <w:rFonts w:ascii="Times New Roman" w:hAnsi="Times New Roman" w:cs="Times New Roman"/>
        </w:rPr>
        <w:t xml:space="preserve"> “The Election Commission of India: Safeguarding Electoral Integrity.” </w:t>
      </w:r>
      <w:r>
        <w:rPr>
          <w:rStyle w:val="6"/>
          <w:rFonts w:ascii="Times New Roman" w:hAnsi="Times New Roman" w:cs="Times New Roman"/>
        </w:rPr>
        <w:t>Indian Journal of Politics</w:t>
      </w:r>
      <w:r>
        <w:rPr>
          <w:rFonts w:ascii="Times New Roman" w:hAnsi="Times New Roman" w:cs="Times New Roman"/>
        </w:rPr>
        <w:t>, vol. 30, no. 3, 2020, pp. 150-153.</w:t>
      </w:r>
    </w:p>
  </w:footnote>
  <w:footnote w:id="15">
    <w:p w14:paraId="5358264D">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w:t>
      </w:r>
      <w:r>
        <w:rPr>
          <w:rStyle w:val="10"/>
          <w:rFonts w:ascii="Times New Roman" w:hAnsi="Times New Roman" w:cs="Times New Roman"/>
          <w:b w:val="0"/>
          <w:bCs w:val="0"/>
        </w:rPr>
        <w:t>Banerjee, R. M.</w:t>
      </w:r>
      <w:r>
        <w:rPr>
          <w:rFonts w:ascii="Times New Roman" w:hAnsi="Times New Roman" w:cs="Times New Roman"/>
        </w:rPr>
        <w:t xml:space="preserve"> “The Role of the Model Code of Conduct in Ensuring Electoral Integrity.” </w:t>
      </w:r>
      <w:r>
        <w:rPr>
          <w:rStyle w:val="6"/>
          <w:rFonts w:ascii="Times New Roman" w:hAnsi="Times New Roman" w:cs="Times New Roman"/>
        </w:rPr>
        <w:t>Journal of Indian Election Law</w:t>
      </w:r>
      <w:r>
        <w:rPr>
          <w:rFonts w:ascii="Times New Roman" w:hAnsi="Times New Roman" w:cs="Times New Roman"/>
        </w:rPr>
        <w:t>, vol. 42, no. 1, 2021, pp. 87-91.</w:t>
      </w:r>
    </w:p>
  </w:footnote>
  <w:footnote w:id="16">
    <w:p w14:paraId="59422798">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w:t>
      </w:r>
      <w:r>
        <w:rPr>
          <w:rStyle w:val="10"/>
          <w:rFonts w:ascii="Times New Roman" w:hAnsi="Times New Roman" w:cs="Times New Roman"/>
          <w:b w:val="0"/>
          <w:bCs w:val="0"/>
        </w:rPr>
        <w:t>Kumar, V.</w:t>
      </w:r>
      <w:r>
        <w:rPr>
          <w:rFonts w:ascii="Times New Roman" w:hAnsi="Times New Roman" w:cs="Times New Roman"/>
        </w:rPr>
        <w:t xml:space="preserve"> “Electoral Integrity and Legal Frameworks: Challenges in India's Democratic Process.” </w:t>
      </w:r>
      <w:r>
        <w:rPr>
          <w:rStyle w:val="6"/>
          <w:rFonts w:ascii="Times New Roman" w:hAnsi="Times New Roman" w:cs="Times New Roman"/>
        </w:rPr>
        <w:t>Journal of Indian Political Studies</w:t>
      </w:r>
      <w:r>
        <w:rPr>
          <w:rFonts w:ascii="Times New Roman" w:hAnsi="Times New Roman" w:cs="Times New Roman"/>
        </w:rPr>
        <w:t>, vol. 22, no. 2, 2021, pp. 78-81.</w:t>
      </w:r>
    </w:p>
  </w:footnote>
  <w:footnote w:id="17">
    <w:p w14:paraId="70504ACF">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w:t>
      </w:r>
      <w:r>
        <w:rPr>
          <w:rStyle w:val="10"/>
          <w:rFonts w:ascii="Times New Roman" w:hAnsi="Times New Roman" w:cs="Times New Roman"/>
          <w:b w:val="0"/>
          <w:bCs w:val="0"/>
        </w:rPr>
        <w:t>Sharma, R. P.</w:t>
      </w:r>
      <w:r>
        <w:rPr>
          <w:rFonts w:ascii="Times New Roman" w:hAnsi="Times New Roman" w:cs="Times New Roman"/>
        </w:rPr>
        <w:t xml:space="preserve"> “Judicial Delays and Electoral Integrity in India: A Growing Concern.” </w:t>
      </w:r>
      <w:r>
        <w:rPr>
          <w:rStyle w:val="6"/>
          <w:rFonts w:ascii="Times New Roman" w:hAnsi="Times New Roman" w:cs="Times New Roman"/>
        </w:rPr>
        <w:t>Journal of Indian Politics</w:t>
      </w:r>
      <w:r>
        <w:rPr>
          <w:rFonts w:ascii="Times New Roman" w:hAnsi="Times New Roman" w:cs="Times New Roman"/>
        </w:rPr>
        <w:t>, vol. 52, no. 1, 2020, pp. 123-125.</w:t>
      </w:r>
    </w:p>
  </w:footnote>
  <w:footnote w:id="18">
    <w:p w14:paraId="619676F8">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w:t>
      </w:r>
      <w:r>
        <w:rPr>
          <w:rStyle w:val="10"/>
          <w:rFonts w:ascii="Times New Roman" w:hAnsi="Times New Roman" w:cs="Times New Roman"/>
          <w:b w:val="0"/>
          <w:bCs w:val="0"/>
        </w:rPr>
        <w:t>Rao, S. V.</w:t>
      </w:r>
      <w:r>
        <w:rPr>
          <w:rFonts w:ascii="Times New Roman" w:hAnsi="Times New Roman" w:cs="Times New Roman"/>
        </w:rPr>
        <w:t xml:space="preserve"> “Judicial Inefficiency and Election Disputes: An Analysis of Delays in India's Courts.” </w:t>
      </w:r>
      <w:r>
        <w:rPr>
          <w:rStyle w:val="6"/>
          <w:rFonts w:ascii="Times New Roman" w:hAnsi="Times New Roman" w:cs="Times New Roman"/>
        </w:rPr>
        <w:t>Indian Journal of Law and Social Science</w:t>
      </w:r>
      <w:r>
        <w:rPr>
          <w:rFonts w:ascii="Times New Roman" w:hAnsi="Times New Roman" w:cs="Times New Roman"/>
        </w:rPr>
        <w:t>, vol. 44, no. 2, 2021, pp. 303-307.</w:t>
      </w:r>
    </w:p>
  </w:footnote>
  <w:footnote w:id="19">
    <w:p w14:paraId="55938605">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w:t>
      </w:r>
      <w:r>
        <w:rPr>
          <w:rStyle w:val="10"/>
          <w:rFonts w:ascii="Times New Roman" w:hAnsi="Times New Roman" w:cs="Times New Roman"/>
          <w:b w:val="0"/>
          <w:bCs w:val="0"/>
        </w:rPr>
        <w:t>Mishra, A. K.</w:t>
      </w:r>
      <w:r>
        <w:rPr>
          <w:rFonts w:ascii="Times New Roman" w:hAnsi="Times New Roman" w:cs="Times New Roman"/>
        </w:rPr>
        <w:t xml:space="preserve"> “Electoral Law and Judicial Accountability: The Slow Path to Justice.” </w:t>
      </w:r>
      <w:r>
        <w:rPr>
          <w:rStyle w:val="6"/>
          <w:rFonts w:ascii="Times New Roman" w:hAnsi="Times New Roman" w:cs="Times New Roman"/>
        </w:rPr>
        <w:t>Journal of Legal Studies</w:t>
      </w:r>
      <w:r>
        <w:rPr>
          <w:rFonts w:ascii="Times New Roman" w:hAnsi="Times New Roman" w:cs="Times New Roman"/>
        </w:rPr>
        <w:t>, vol. 30, no. 2, 2020, pp. 58-60.</w:t>
      </w:r>
    </w:p>
  </w:footnote>
  <w:footnote w:id="20">
    <w:p w14:paraId="0FDE7FE8">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w:t>
      </w:r>
      <w:r>
        <w:rPr>
          <w:rStyle w:val="10"/>
          <w:rFonts w:ascii="Times New Roman" w:hAnsi="Times New Roman" w:cs="Times New Roman"/>
          <w:b w:val="0"/>
          <w:bCs w:val="0"/>
        </w:rPr>
        <w:t>Singh, S. D.</w:t>
      </w:r>
      <w:r>
        <w:rPr>
          <w:rFonts w:ascii="Times New Roman" w:hAnsi="Times New Roman" w:cs="Times New Roman"/>
        </w:rPr>
        <w:t xml:space="preserve"> “Resource Constraints in Electoral Monitoring: A Study of the Election Commission of India.” </w:t>
      </w:r>
      <w:r>
        <w:rPr>
          <w:rStyle w:val="6"/>
          <w:rFonts w:ascii="Times New Roman" w:hAnsi="Times New Roman" w:cs="Times New Roman"/>
        </w:rPr>
        <w:t>Journal of Election Studies</w:t>
      </w:r>
      <w:r>
        <w:rPr>
          <w:rFonts w:ascii="Times New Roman" w:hAnsi="Times New Roman" w:cs="Times New Roman"/>
        </w:rPr>
        <w:t>, vol. 39, no. 1, 2019, pp. 74-76.</w:t>
      </w:r>
    </w:p>
  </w:footnote>
  <w:footnote w:id="21">
    <w:p w14:paraId="40DCEA1B">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w:t>
      </w:r>
      <w:r>
        <w:rPr>
          <w:rStyle w:val="10"/>
          <w:rFonts w:ascii="Times New Roman" w:hAnsi="Times New Roman" w:cs="Times New Roman"/>
          <w:b w:val="0"/>
          <w:bCs w:val="0"/>
        </w:rPr>
        <w:t>Iyer, V.</w:t>
      </w:r>
      <w:r>
        <w:rPr>
          <w:rFonts w:ascii="Times New Roman" w:hAnsi="Times New Roman" w:cs="Times New Roman"/>
        </w:rPr>
        <w:t xml:space="preserve"> “Logistical Failures and Their Impact on Electoral Integrity: Case Studies from India.” </w:t>
      </w:r>
      <w:r>
        <w:rPr>
          <w:rStyle w:val="6"/>
          <w:rFonts w:ascii="Times New Roman" w:hAnsi="Times New Roman" w:cs="Times New Roman"/>
        </w:rPr>
        <w:t>Journal of Politics</w:t>
      </w:r>
      <w:r>
        <w:rPr>
          <w:rFonts w:ascii="Times New Roman" w:hAnsi="Times New Roman" w:cs="Times New Roman"/>
        </w:rPr>
        <w:t>, vol. 27, no. 3, 2018, pp. 220-225.</w:t>
      </w:r>
    </w:p>
  </w:footnote>
  <w:footnote w:id="22">
    <w:p w14:paraId="3138481A">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w:t>
      </w:r>
      <w:r>
        <w:rPr>
          <w:rStyle w:val="10"/>
          <w:rFonts w:ascii="Times New Roman" w:hAnsi="Times New Roman" w:cs="Times New Roman"/>
          <w:b w:val="0"/>
          <w:bCs w:val="0"/>
        </w:rPr>
        <w:t>Rao, S. V.</w:t>
      </w:r>
      <w:r>
        <w:rPr>
          <w:rFonts w:ascii="Times New Roman" w:hAnsi="Times New Roman" w:cs="Times New Roman"/>
        </w:rPr>
        <w:t xml:space="preserve"> “The Strain of Electoral Management: Resource Challenges in India's Elections.” </w:t>
      </w:r>
      <w:r>
        <w:rPr>
          <w:rStyle w:val="6"/>
          <w:rFonts w:ascii="Times New Roman" w:hAnsi="Times New Roman" w:cs="Times New Roman"/>
        </w:rPr>
        <w:t>Public Administration Journal</w:t>
      </w:r>
      <w:r>
        <w:rPr>
          <w:rFonts w:ascii="Times New Roman" w:hAnsi="Times New Roman" w:cs="Times New Roman"/>
        </w:rPr>
        <w:t>, vol. 40, no. 2, 2019, pp. 200-203.</w:t>
      </w:r>
    </w:p>
  </w:footnote>
  <w:footnote w:id="23">
    <w:p w14:paraId="1DA813D4">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w:t>
      </w:r>
      <w:r>
        <w:rPr>
          <w:rStyle w:val="10"/>
          <w:rFonts w:ascii="Times New Roman" w:hAnsi="Times New Roman" w:cs="Times New Roman"/>
          <w:b w:val="0"/>
          <w:bCs w:val="0"/>
        </w:rPr>
        <w:t>Singh, R. K.</w:t>
      </w:r>
      <w:r>
        <w:rPr>
          <w:rFonts w:ascii="Times New Roman" w:hAnsi="Times New Roman" w:cs="Times New Roman"/>
        </w:rPr>
        <w:t xml:space="preserve"> “Political Influence on Electoral Integrity: The Indian Experience.” </w:t>
      </w:r>
      <w:r>
        <w:rPr>
          <w:rStyle w:val="6"/>
          <w:rFonts w:ascii="Times New Roman" w:hAnsi="Times New Roman" w:cs="Times New Roman"/>
        </w:rPr>
        <w:t>Public Policy Review</w:t>
      </w:r>
      <w:r>
        <w:rPr>
          <w:rFonts w:ascii="Times New Roman" w:hAnsi="Times New Roman" w:cs="Times New Roman"/>
        </w:rPr>
        <w:t>, vol. 29, no. 4, 2019, pp. 191-193.</w:t>
      </w:r>
    </w:p>
  </w:footnote>
  <w:footnote w:id="24">
    <w:p w14:paraId="582D8257">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w:t>
      </w:r>
      <w:r>
        <w:rPr>
          <w:rStyle w:val="10"/>
          <w:rFonts w:ascii="Times New Roman" w:hAnsi="Times New Roman" w:cs="Times New Roman"/>
          <w:b w:val="0"/>
          <w:bCs w:val="0"/>
        </w:rPr>
        <w:t>Mishra, A. K.</w:t>
      </w:r>
      <w:r>
        <w:rPr>
          <w:rFonts w:ascii="Times New Roman" w:hAnsi="Times New Roman" w:cs="Times New Roman"/>
        </w:rPr>
        <w:t xml:space="preserve"> “The Role of Political Influence in Electoral Malpractices: A Study of Indian Elections.” </w:t>
      </w:r>
      <w:r>
        <w:rPr>
          <w:rStyle w:val="6"/>
          <w:rFonts w:ascii="Times New Roman" w:hAnsi="Times New Roman" w:cs="Times New Roman"/>
        </w:rPr>
        <w:t>Journal of Political Science</w:t>
      </w:r>
      <w:r>
        <w:rPr>
          <w:rFonts w:ascii="Times New Roman" w:hAnsi="Times New Roman" w:cs="Times New Roman"/>
        </w:rPr>
        <w:t>, vol. 33, no. 1, 2020, pp. 160-163.</w:t>
      </w:r>
    </w:p>
  </w:footnote>
  <w:footnote w:id="25">
    <w:p w14:paraId="0FEA096E">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w:t>
      </w:r>
      <w:r>
        <w:rPr>
          <w:rStyle w:val="10"/>
          <w:rFonts w:ascii="Times New Roman" w:hAnsi="Times New Roman" w:cs="Times New Roman"/>
          <w:b w:val="0"/>
          <w:bCs w:val="0"/>
        </w:rPr>
        <w:t>Kumar, P.</w:t>
      </w:r>
      <w:r>
        <w:rPr>
          <w:rFonts w:ascii="Times New Roman" w:hAnsi="Times New Roman" w:cs="Times New Roman"/>
        </w:rPr>
        <w:t xml:space="preserve"> “The Political Economy of Electoral Malpractices in India.” </w:t>
      </w:r>
      <w:r>
        <w:rPr>
          <w:rStyle w:val="6"/>
          <w:rFonts w:ascii="Times New Roman" w:hAnsi="Times New Roman" w:cs="Times New Roman"/>
        </w:rPr>
        <w:t>International Political Review</w:t>
      </w:r>
      <w:r>
        <w:rPr>
          <w:rFonts w:ascii="Times New Roman" w:hAnsi="Times New Roman" w:cs="Times New Roman"/>
        </w:rPr>
        <w:t>, vol. 44, no. 2, 2021, pp. 150-153.</w:t>
      </w:r>
    </w:p>
  </w:footnote>
  <w:footnote w:id="26">
    <w:p w14:paraId="55BA2B41">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w:t>
      </w:r>
      <w:r>
        <w:rPr>
          <w:rStyle w:val="10"/>
          <w:rFonts w:ascii="Times New Roman" w:hAnsi="Times New Roman" w:cs="Times New Roman"/>
          <w:b w:val="0"/>
          <w:bCs w:val="0"/>
        </w:rPr>
        <w:t>Kumar, V.</w:t>
      </w:r>
      <w:r>
        <w:rPr>
          <w:rFonts w:ascii="Times New Roman" w:hAnsi="Times New Roman" w:cs="Times New Roman"/>
        </w:rPr>
        <w:t xml:space="preserve"> “Public Awareness and Electoral Integrity: The Missing Link.” </w:t>
      </w:r>
      <w:r>
        <w:rPr>
          <w:rStyle w:val="6"/>
          <w:rFonts w:ascii="Times New Roman" w:hAnsi="Times New Roman" w:cs="Times New Roman"/>
        </w:rPr>
        <w:t>Indian Political Review</w:t>
      </w:r>
      <w:r>
        <w:rPr>
          <w:rFonts w:ascii="Times New Roman" w:hAnsi="Times New Roman" w:cs="Times New Roman"/>
        </w:rPr>
        <w:t>, vol. 56, no. 3, 2018, pp. 112-115.</w:t>
      </w:r>
    </w:p>
  </w:footnote>
  <w:footnote w:id="27">
    <w:p w14:paraId="1282F396">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w:t>
      </w:r>
      <w:r>
        <w:rPr>
          <w:rStyle w:val="10"/>
          <w:rFonts w:ascii="Times New Roman" w:hAnsi="Times New Roman" w:cs="Times New Roman"/>
          <w:b w:val="0"/>
          <w:bCs w:val="0"/>
        </w:rPr>
        <w:t>Gupta, N. N.</w:t>
      </w:r>
      <w:r>
        <w:rPr>
          <w:rFonts w:ascii="Times New Roman" w:hAnsi="Times New Roman" w:cs="Times New Roman"/>
        </w:rPr>
        <w:t xml:space="preserve"> “Voter Awareness and Its Role in Safeguarding Electoral Integrity in India.” </w:t>
      </w:r>
      <w:r>
        <w:rPr>
          <w:rStyle w:val="6"/>
          <w:rFonts w:ascii="Times New Roman" w:hAnsi="Times New Roman" w:cs="Times New Roman"/>
        </w:rPr>
        <w:t>Journal of Social Policy</w:t>
      </w:r>
      <w:r>
        <w:rPr>
          <w:rFonts w:ascii="Times New Roman" w:hAnsi="Times New Roman" w:cs="Times New Roman"/>
        </w:rPr>
        <w:t>, vol. 34, no. 2, 2019, pp. 170-173.</w:t>
      </w:r>
    </w:p>
  </w:footnote>
  <w:footnote w:id="28">
    <w:p w14:paraId="23A14556">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w:t>
      </w:r>
      <w:r>
        <w:rPr>
          <w:rStyle w:val="10"/>
          <w:rFonts w:ascii="Times New Roman" w:hAnsi="Times New Roman" w:cs="Times New Roman"/>
          <w:b w:val="0"/>
          <w:bCs w:val="0"/>
        </w:rPr>
        <w:t>Patel, A. S.</w:t>
      </w:r>
      <w:r>
        <w:rPr>
          <w:rFonts w:ascii="Times New Roman" w:hAnsi="Times New Roman" w:cs="Times New Roman"/>
        </w:rPr>
        <w:t xml:space="preserve"> “Understanding the Role of Public Engagement in Enhancing Electoral Integrity.” </w:t>
      </w:r>
      <w:r>
        <w:rPr>
          <w:rStyle w:val="6"/>
          <w:rFonts w:ascii="Times New Roman" w:hAnsi="Times New Roman" w:cs="Times New Roman"/>
        </w:rPr>
        <w:t>Election Law Journal</w:t>
      </w:r>
      <w:r>
        <w:rPr>
          <w:rFonts w:ascii="Times New Roman" w:hAnsi="Times New Roman" w:cs="Times New Roman"/>
        </w:rPr>
        <w:t>, vol. 40, no. 1, 2020, pp. 185-188.</w:t>
      </w:r>
    </w:p>
  </w:footnote>
  <w:footnote w:id="29">
    <w:p w14:paraId="7497C418">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w:t>
      </w:r>
      <w:r>
        <w:rPr>
          <w:rStyle w:val="10"/>
          <w:rFonts w:ascii="Times New Roman" w:hAnsi="Times New Roman" w:cs="Times New Roman"/>
          <w:b w:val="0"/>
          <w:bCs w:val="0"/>
        </w:rPr>
        <w:t>Thomas, K. A.</w:t>
      </w:r>
      <w:r>
        <w:rPr>
          <w:rFonts w:ascii="Times New Roman" w:hAnsi="Times New Roman" w:cs="Times New Roman"/>
        </w:rPr>
        <w:t xml:space="preserve"> “Global Comparisons of Electoral Integrity: Lessons for India.” </w:t>
      </w:r>
      <w:r>
        <w:rPr>
          <w:rStyle w:val="6"/>
          <w:rFonts w:ascii="Times New Roman" w:hAnsi="Times New Roman" w:cs="Times New Roman"/>
        </w:rPr>
        <w:t>Election Law Journal</w:t>
      </w:r>
      <w:r>
        <w:rPr>
          <w:rFonts w:ascii="Times New Roman" w:hAnsi="Times New Roman" w:cs="Times New Roman"/>
        </w:rPr>
        <w:t>, vol. 45, no. 3, 2021, pp. 102-107.</w:t>
      </w:r>
    </w:p>
  </w:footnote>
  <w:footnote w:id="30">
    <w:p w14:paraId="4BFBB38F">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w:t>
      </w:r>
      <w:r>
        <w:rPr>
          <w:rStyle w:val="10"/>
          <w:rFonts w:ascii="Times New Roman" w:hAnsi="Times New Roman" w:cs="Times New Roman"/>
          <w:b w:val="0"/>
          <w:bCs w:val="0"/>
        </w:rPr>
        <w:t>Ndou, T. R.</w:t>
      </w:r>
      <w:r>
        <w:rPr>
          <w:rFonts w:ascii="Times New Roman" w:hAnsi="Times New Roman" w:cs="Times New Roman"/>
        </w:rPr>
        <w:t xml:space="preserve"> “The Role of Fast-Track Courts in Electoral Disputes: Lessons from South Africa.” </w:t>
      </w:r>
      <w:r>
        <w:rPr>
          <w:rStyle w:val="6"/>
          <w:rFonts w:ascii="Times New Roman" w:hAnsi="Times New Roman" w:cs="Times New Roman"/>
        </w:rPr>
        <w:t>South African Law Journal</w:t>
      </w:r>
      <w:r>
        <w:rPr>
          <w:rFonts w:ascii="Times New Roman" w:hAnsi="Times New Roman" w:cs="Times New Roman"/>
        </w:rPr>
        <w:t>, vol. 45, no. 2, 2020, pp. 234-237.</w:t>
      </w:r>
    </w:p>
  </w:footnote>
  <w:footnote w:id="31">
    <w:p w14:paraId="368FAA47">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w:t>
      </w:r>
      <w:r>
        <w:rPr>
          <w:rStyle w:val="10"/>
          <w:rFonts w:ascii="Times New Roman" w:hAnsi="Times New Roman" w:cs="Times New Roman"/>
          <w:b w:val="0"/>
          <w:bCs w:val="0"/>
        </w:rPr>
        <w:t>Sello, M. F.</w:t>
      </w:r>
      <w:r>
        <w:rPr>
          <w:rFonts w:ascii="Times New Roman" w:hAnsi="Times New Roman" w:cs="Times New Roman"/>
        </w:rPr>
        <w:t xml:space="preserve"> “Judicial Intervention in Electoral Disputes: A Case Study from South Africa.” </w:t>
      </w:r>
      <w:r>
        <w:rPr>
          <w:rStyle w:val="6"/>
          <w:rFonts w:ascii="Times New Roman" w:hAnsi="Times New Roman" w:cs="Times New Roman"/>
        </w:rPr>
        <w:t>Journal of Contemporary Law</w:t>
      </w:r>
      <w:r>
        <w:rPr>
          <w:rFonts w:ascii="Times New Roman" w:hAnsi="Times New Roman" w:cs="Times New Roman"/>
        </w:rPr>
        <w:t>, vol. 29, no. 3, 2021, pp. 305-308.</w:t>
      </w:r>
    </w:p>
  </w:footnote>
  <w:footnote w:id="32">
    <w:p w14:paraId="3EADF627">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w:t>
      </w:r>
      <w:r>
        <w:rPr>
          <w:rStyle w:val="10"/>
          <w:rFonts w:ascii="Times New Roman" w:hAnsi="Times New Roman" w:cs="Times New Roman"/>
          <w:b w:val="0"/>
          <w:bCs w:val="0"/>
        </w:rPr>
        <w:t>Khumalo, S. L.</w:t>
      </w:r>
      <w:r>
        <w:rPr>
          <w:rFonts w:ascii="Times New Roman" w:hAnsi="Times New Roman" w:cs="Times New Roman"/>
        </w:rPr>
        <w:t xml:space="preserve"> “Timely Justice and Electoral Integrity: How Fast-Track Courts Impact Public Trust.” </w:t>
      </w:r>
      <w:r>
        <w:rPr>
          <w:rStyle w:val="6"/>
          <w:rFonts w:ascii="Times New Roman" w:hAnsi="Times New Roman" w:cs="Times New Roman"/>
        </w:rPr>
        <w:t>South African Political Science Journal</w:t>
      </w:r>
      <w:r>
        <w:rPr>
          <w:rFonts w:ascii="Times New Roman" w:hAnsi="Times New Roman" w:cs="Times New Roman"/>
        </w:rPr>
        <w:t>, vol. 32, no. 2, 2020, pp. 156-158.</w:t>
      </w:r>
    </w:p>
  </w:footnote>
  <w:footnote w:id="33">
    <w:p w14:paraId="341AC956">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w:t>
      </w:r>
      <w:r>
        <w:rPr>
          <w:rStyle w:val="10"/>
          <w:rFonts w:ascii="Times New Roman" w:hAnsi="Times New Roman" w:cs="Times New Roman"/>
          <w:b w:val="0"/>
          <w:bCs w:val="0"/>
        </w:rPr>
        <w:t>Mahato, R. W.</w:t>
      </w:r>
      <w:r>
        <w:rPr>
          <w:rFonts w:ascii="Times New Roman" w:hAnsi="Times New Roman" w:cs="Times New Roman"/>
        </w:rPr>
        <w:t xml:space="preserve"> “Specialized Courts and Electoral Integrity: A Comparative Study.” </w:t>
      </w:r>
      <w:r>
        <w:rPr>
          <w:rStyle w:val="6"/>
          <w:rFonts w:ascii="Times New Roman" w:hAnsi="Times New Roman" w:cs="Times New Roman"/>
        </w:rPr>
        <w:t>Journal of Legal Reforms</w:t>
      </w:r>
      <w:r>
        <w:rPr>
          <w:rFonts w:ascii="Times New Roman" w:hAnsi="Times New Roman" w:cs="Times New Roman"/>
        </w:rPr>
        <w:t>, vol. 48, no. 1, 2022, pp. 97-99.</w:t>
      </w:r>
    </w:p>
  </w:footnote>
  <w:footnote w:id="34">
    <w:p w14:paraId="12234383">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w:t>
      </w:r>
      <w:r>
        <w:rPr>
          <w:rStyle w:val="10"/>
          <w:rFonts w:ascii="Times New Roman" w:hAnsi="Times New Roman" w:cs="Times New Roman"/>
          <w:b w:val="0"/>
          <w:bCs w:val="0"/>
        </w:rPr>
        <w:t>Silva, J. L.</w:t>
      </w:r>
      <w:r>
        <w:rPr>
          <w:rFonts w:ascii="Times New Roman" w:hAnsi="Times New Roman" w:cs="Times New Roman"/>
        </w:rPr>
        <w:t xml:space="preserve"> “Brazil’s Election Tribunals: A Model for Electoral Integrity?” </w:t>
      </w:r>
      <w:r>
        <w:rPr>
          <w:rStyle w:val="6"/>
          <w:rFonts w:ascii="Times New Roman" w:hAnsi="Times New Roman" w:cs="Times New Roman"/>
        </w:rPr>
        <w:t>Latin American Political Studies</w:t>
      </w:r>
      <w:r>
        <w:rPr>
          <w:rFonts w:ascii="Times New Roman" w:hAnsi="Times New Roman" w:cs="Times New Roman"/>
        </w:rPr>
        <w:t>, vol. 34, no. 2, 2021, pp. 112-115.</w:t>
      </w:r>
    </w:p>
  </w:footnote>
  <w:footnote w:id="35">
    <w:p w14:paraId="6E116444">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w:t>
      </w:r>
      <w:r>
        <w:rPr>
          <w:rStyle w:val="10"/>
          <w:rFonts w:ascii="Times New Roman" w:hAnsi="Times New Roman" w:cs="Times New Roman"/>
          <w:b w:val="0"/>
          <w:bCs w:val="0"/>
        </w:rPr>
        <w:t>Costa, F. D.</w:t>
      </w:r>
      <w:r>
        <w:rPr>
          <w:rFonts w:ascii="Times New Roman" w:hAnsi="Times New Roman" w:cs="Times New Roman"/>
        </w:rPr>
        <w:t xml:space="preserve"> “The Role of the Superior Electoral Court in Brazil’s Electoral System.” </w:t>
      </w:r>
      <w:r>
        <w:rPr>
          <w:rStyle w:val="6"/>
          <w:rFonts w:ascii="Times New Roman" w:hAnsi="Times New Roman" w:cs="Times New Roman"/>
        </w:rPr>
        <w:t>Journal of Brazilian Election Studies</w:t>
      </w:r>
      <w:r>
        <w:rPr>
          <w:rFonts w:ascii="Times New Roman" w:hAnsi="Times New Roman" w:cs="Times New Roman"/>
        </w:rPr>
        <w:t>, vol. 22, no. 3, 2019, pp. 78-81.</w:t>
      </w:r>
    </w:p>
  </w:footnote>
  <w:footnote w:id="36">
    <w:p w14:paraId="2027FB13">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w:t>
      </w:r>
      <w:r>
        <w:rPr>
          <w:rStyle w:val="10"/>
          <w:rFonts w:ascii="Times New Roman" w:hAnsi="Times New Roman" w:cs="Times New Roman"/>
          <w:b w:val="0"/>
          <w:bCs w:val="0"/>
        </w:rPr>
        <w:t>Souza, R. M.</w:t>
      </w:r>
      <w:r>
        <w:rPr>
          <w:rFonts w:ascii="Times New Roman" w:hAnsi="Times New Roman" w:cs="Times New Roman"/>
        </w:rPr>
        <w:t xml:space="preserve"> “Efficient Electoral Justice: How Brazil’s Election Tribunals Ensure Transparency.” </w:t>
      </w:r>
      <w:r>
        <w:rPr>
          <w:rStyle w:val="6"/>
          <w:rFonts w:ascii="Times New Roman" w:hAnsi="Times New Roman" w:cs="Times New Roman"/>
        </w:rPr>
        <w:t>Election Law Journal</w:t>
      </w:r>
      <w:r>
        <w:rPr>
          <w:rFonts w:ascii="Times New Roman" w:hAnsi="Times New Roman" w:cs="Times New Roman"/>
        </w:rPr>
        <w:t>, vol. 30, no. 2, 2021, pp. 115-120.</w:t>
      </w:r>
    </w:p>
  </w:footnote>
  <w:footnote w:id="37">
    <w:p w14:paraId="03F3FDE9">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w:t>
      </w:r>
      <w:r>
        <w:rPr>
          <w:rStyle w:val="10"/>
          <w:rFonts w:ascii="Times New Roman" w:hAnsi="Times New Roman" w:cs="Times New Roman"/>
          <w:b w:val="0"/>
          <w:bCs w:val="0"/>
        </w:rPr>
        <w:t>Ramos, L. C.</w:t>
      </w:r>
      <w:r>
        <w:rPr>
          <w:rFonts w:ascii="Times New Roman" w:hAnsi="Times New Roman" w:cs="Times New Roman"/>
        </w:rPr>
        <w:t xml:space="preserve"> “Technological Solutions for Electoral Fraud: Brazil’s Adoption of Electronic Voting.” </w:t>
      </w:r>
      <w:r>
        <w:rPr>
          <w:rStyle w:val="6"/>
          <w:rFonts w:ascii="Times New Roman" w:hAnsi="Times New Roman" w:cs="Times New Roman"/>
        </w:rPr>
        <w:t>Technology and Law Review</w:t>
      </w:r>
      <w:r>
        <w:rPr>
          <w:rFonts w:ascii="Times New Roman" w:hAnsi="Times New Roman" w:cs="Times New Roman"/>
        </w:rPr>
        <w:t>, vol. 35, no. 4, 2020, pp. 202-206.</w:t>
      </w:r>
    </w:p>
  </w:footnote>
  <w:footnote w:id="38">
    <w:p w14:paraId="1C8038AA">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w:t>
      </w:r>
      <w:r>
        <w:rPr>
          <w:rStyle w:val="10"/>
          <w:rFonts w:ascii="Times New Roman" w:hAnsi="Times New Roman" w:cs="Times New Roman"/>
          <w:b w:val="0"/>
          <w:bCs w:val="0"/>
        </w:rPr>
        <w:t>Thomas, K. A.</w:t>
      </w:r>
      <w:r>
        <w:rPr>
          <w:rFonts w:ascii="Times New Roman" w:hAnsi="Times New Roman" w:cs="Times New Roman"/>
        </w:rPr>
        <w:t xml:space="preserve"> “Electoral Reforms and Judiciary Delays in India: A Comparative Study.” </w:t>
      </w:r>
      <w:r>
        <w:rPr>
          <w:rStyle w:val="6"/>
          <w:rFonts w:ascii="Times New Roman" w:hAnsi="Times New Roman" w:cs="Times New Roman"/>
        </w:rPr>
        <w:t>Journal of Indian Law</w:t>
      </w:r>
      <w:r>
        <w:rPr>
          <w:rFonts w:ascii="Times New Roman" w:hAnsi="Times New Roman" w:cs="Times New Roman"/>
        </w:rPr>
        <w:t>, vol. 51, no. 3, 2022, pp. 153-157.</w:t>
      </w:r>
    </w:p>
  </w:footnote>
  <w:footnote w:id="39">
    <w:p w14:paraId="60380969">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w:t>
      </w:r>
      <w:r>
        <w:rPr>
          <w:rStyle w:val="10"/>
          <w:rFonts w:ascii="Times New Roman" w:hAnsi="Times New Roman" w:cs="Times New Roman"/>
          <w:b w:val="0"/>
          <w:bCs w:val="0"/>
        </w:rPr>
        <w:t>Thomas, K. A.</w:t>
      </w:r>
      <w:r>
        <w:rPr>
          <w:rFonts w:ascii="Times New Roman" w:hAnsi="Times New Roman" w:cs="Times New Roman"/>
        </w:rPr>
        <w:t xml:space="preserve"> “Electoral Reforms and Judiciary Delays in India: A Comparative Study.” </w:t>
      </w:r>
      <w:r>
        <w:rPr>
          <w:rStyle w:val="6"/>
          <w:rFonts w:ascii="Times New Roman" w:hAnsi="Times New Roman" w:cs="Times New Roman"/>
        </w:rPr>
        <w:t>Journal of Indian Law</w:t>
      </w:r>
      <w:r>
        <w:rPr>
          <w:rFonts w:ascii="Times New Roman" w:hAnsi="Times New Roman" w:cs="Times New Roman"/>
        </w:rPr>
        <w:t>, vol. 51, no. 3, 2022, pp. 153-157.</w:t>
      </w:r>
    </w:p>
  </w:footnote>
  <w:footnote w:id="40">
    <w:p w14:paraId="063902FF">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w:t>
      </w:r>
      <w:r>
        <w:rPr>
          <w:rStyle w:val="10"/>
          <w:rFonts w:ascii="Times New Roman" w:hAnsi="Times New Roman" w:cs="Times New Roman"/>
          <w:b w:val="0"/>
          <w:bCs w:val="0"/>
        </w:rPr>
        <w:t>Pandit, M. S.</w:t>
      </w:r>
      <w:r>
        <w:rPr>
          <w:rFonts w:ascii="Times New Roman" w:hAnsi="Times New Roman" w:cs="Times New Roman"/>
        </w:rPr>
        <w:t xml:space="preserve"> “Strengthening Electoral Integrity in India: Lessons from International Models.” </w:t>
      </w:r>
      <w:r>
        <w:rPr>
          <w:rStyle w:val="6"/>
          <w:rFonts w:ascii="Times New Roman" w:hAnsi="Times New Roman" w:cs="Times New Roman"/>
        </w:rPr>
        <w:t>Indian Political Review</w:t>
      </w:r>
      <w:r>
        <w:rPr>
          <w:rFonts w:ascii="Times New Roman" w:hAnsi="Times New Roman" w:cs="Times New Roman"/>
        </w:rPr>
        <w:t>, vol. 40, no. 1, 2021, pp. 101-106.</w:t>
      </w:r>
    </w:p>
  </w:footnote>
  <w:footnote w:id="41">
    <w:p w14:paraId="14183A69">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w:t>
      </w:r>
      <w:r>
        <w:rPr>
          <w:rStyle w:val="10"/>
          <w:rFonts w:ascii="Times New Roman" w:hAnsi="Times New Roman" w:cs="Times New Roman"/>
          <w:b w:val="0"/>
          <w:bCs w:val="0"/>
        </w:rPr>
        <w:t>Gupta, N. N.</w:t>
      </w:r>
      <w:r>
        <w:rPr>
          <w:rFonts w:ascii="Times New Roman" w:hAnsi="Times New Roman" w:cs="Times New Roman"/>
        </w:rPr>
        <w:t xml:space="preserve"> “Electronic Voting and Electoral Fraud: Lessons from Brazil.” </w:t>
      </w:r>
      <w:r>
        <w:rPr>
          <w:rStyle w:val="6"/>
          <w:rFonts w:ascii="Times New Roman" w:hAnsi="Times New Roman" w:cs="Times New Roman"/>
        </w:rPr>
        <w:t>Journal of Digital Law</w:t>
      </w:r>
      <w:r>
        <w:rPr>
          <w:rFonts w:ascii="Times New Roman" w:hAnsi="Times New Roman" w:cs="Times New Roman"/>
        </w:rPr>
        <w:t>, vol. 39, no. 2, 2020, pp. 154-158.</w:t>
      </w:r>
    </w:p>
  </w:footnote>
  <w:footnote w:id="42">
    <w:p w14:paraId="42B173EE">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w:t>
      </w:r>
      <w:r>
        <w:rPr>
          <w:rStyle w:val="10"/>
          <w:rFonts w:ascii="Times New Roman" w:hAnsi="Times New Roman" w:cs="Times New Roman"/>
          <w:b w:val="0"/>
          <w:bCs w:val="0"/>
        </w:rPr>
        <w:t>Singh, S. D.</w:t>
      </w:r>
      <w:r>
        <w:rPr>
          <w:rFonts w:ascii="Times New Roman" w:hAnsi="Times New Roman" w:cs="Times New Roman"/>
        </w:rPr>
        <w:t xml:space="preserve"> “Global Reforms in Electoral Integrity: Insights for India.” </w:t>
      </w:r>
      <w:r>
        <w:rPr>
          <w:rStyle w:val="6"/>
          <w:rFonts w:ascii="Times New Roman" w:hAnsi="Times New Roman" w:cs="Times New Roman"/>
        </w:rPr>
        <w:t>Public Policy Studies</w:t>
      </w:r>
      <w:r>
        <w:rPr>
          <w:rFonts w:ascii="Times New Roman" w:hAnsi="Times New Roman" w:cs="Times New Roman"/>
        </w:rPr>
        <w:t>, vol. 41, no. 4, 2020, pp. 125-130.</w:t>
      </w:r>
    </w:p>
  </w:footnote>
  <w:footnote w:id="43">
    <w:p w14:paraId="77E1EE36">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w:t>
      </w:r>
      <w:r>
        <w:rPr>
          <w:rStyle w:val="10"/>
          <w:rFonts w:ascii="Times New Roman" w:hAnsi="Times New Roman" w:cs="Times New Roman"/>
          <w:b w:val="0"/>
          <w:bCs w:val="0"/>
        </w:rPr>
        <w:t>Mishra, A. K.</w:t>
      </w:r>
      <w:r>
        <w:rPr>
          <w:rFonts w:ascii="Times New Roman" w:hAnsi="Times New Roman" w:cs="Times New Roman"/>
        </w:rPr>
        <w:t xml:space="preserve"> “Technological Advances in Electoral Monitoring: A Study of India and Brazil.” </w:t>
      </w:r>
      <w:r>
        <w:rPr>
          <w:rStyle w:val="6"/>
          <w:rFonts w:ascii="Times New Roman" w:hAnsi="Times New Roman" w:cs="Times New Roman"/>
        </w:rPr>
        <w:t>Journal of Election Technology</w:t>
      </w:r>
      <w:r>
        <w:rPr>
          <w:rFonts w:ascii="Times New Roman" w:hAnsi="Times New Roman" w:cs="Times New Roman"/>
        </w:rPr>
        <w:t>, vol. 47, no. 2, 2021, pp. 202-206.</w:t>
      </w:r>
    </w:p>
  </w:footnote>
  <w:footnote w:id="44">
    <w:p w14:paraId="1870A54B">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w:t>
      </w:r>
      <w:r>
        <w:rPr>
          <w:rStyle w:val="10"/>
          <w:rFonts w:ascii="Times New Roman" w:hAnsi="Times New Roman" w:cs="Times New Roman"/>
          <w:b w:val="0"/>
          <w:bCs w:val="0"/>
        </w:rPr>
        <w:t>Thomas, K. A.</w:t>
      </w:r>
      <w:r>
        <w:rPr>
          <w:rFonts w:ascii="Times New Roman" w:hAnsi="Times New Roman" w:cs="Times New Roman"/>
        </w:rPr>
        <w:t xml:space="preserve"> “Global Electoral Systems and India’s Path Forward.” </w:t>
      </w:r>
      <w:r>
        <w:rPr>
          <w:rStyle w:val="6"/>
          <w:rFonts w:ascii="Times New Roman" w:hAnsi="Times New Roman" w:cs="Times New Roman"/>
        </w:rPr>
        <w:t>Indian Journal of Political Science</w:t>
      </w:r>
      <w:r>
        <w:rPr>
          <w:rFonts w:ascii="Times New Roman" w:hAnsi="Times New Roman" w:cs="Times New Roman"/>
        </w:rPr>
        <w:t>, vol. 50, no. 3, 2022, pp. 184-189.</w:t>
      </w:r>
    </w:p>
  </w:footnote>
  <w:footnote w:id="45">
    <w:p w14:paraId="770A6BE6">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Bhagat, V. S. “Electoral Integrity and the Failure of Deterrence in India.” </w:t>
      </w:r>
      <w:r>
        <w:rPr>
          <w:rStyle w:val="6"/>
          <w:rFonts w:ascii="Times New Roman" w:hAnsi="Times New Roman" w:cs="Times New Roman"/>
        </w:rPr>
        <w:t>Indian Political Science Review</w:t>
      </w:r>
      <w:r>
        <w:rPr>
          <w:rFonts w:ascii="Times New Roman" w:hAnsi="Times New Roman" w:cs="Times New Roman"/>
        </w:rPr>
        <w:t>, vol. 54, no. 2, 2021, pp. 198-201.</w:t>
      </w:r>
    </w:p>
  </w:footnote>
  <w:footnote w:id="46">
    <w:p w14:paraId="10E33396">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Sharma, N. K. “The Representation of the People Act: A Legal Analysis.” </w:t>
      </w:r>
      <w:r>
        <w:rPr>
          <w:rStyle w:val="6"/>
          <w:rFonts w:ascii="Times New Roman" w:hAnsi="Times New Roman" w:cs="Times New Roman"/>
        </w:rPr>
        <w:t>Journal of Indian Legal Studies</w:t>
      </w:r>
      <w:r>
        <w:rPr>
          <w:rFonts w:ascii="Times New Roman" w:hAnsi="Times New Roman" w:cs="Times New Roman"/>
        </w:rPr>
        <w:t>, vol. 62, no. 1, 2020, pp. 120-125.</w:t>
      </w:r>
    </w:p>
  </w:footnote>
  <w:footnote w:id="47">
    <w:p w14:paraId="7609CEB2">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Khan, A. R. “Political Influence in Electoral Law Enforcement in India.” </w:t>
      </w:r>
      <w:r>
        <w:rPr>
          <w:rStyle w:val="6"/>
          <w:rFonts w:ascii="Times New Roman" w:hAnsi="Times New Roman" w:cs="Times New Roman"/>
        </w:rPr>
        <w:t>Asian Political Studies</w:t>
      </w:r>
      <w:r>
        <w:rPr>
          <w:rFonts w:ascii="Times New Roman" w:hAnsi="Times New Roman" w:cs="Times New Roman"/>
        </w:rPr>
        <w:t>, vol. 47, no. 3, 2021, pp. 215-219.</w:t>
      </w:r>
    </w:p>
  </w:footnote>
  <w:footnote w:id="48">
    <w:p w14:paraId="4C12AA71">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Malhotra, R. K. “Electoral Integrity in India: Legal and Institutional Barriers.” </w:t>
      </w:r>
      <w:r>
        <w:rPr>
          <w:rStyle w:val="6"/>
          <w:rFonts w:ascii="Times New Roman" w:hAnsi="Times New Roman" w:cs="Times New Roman"/>
        </w:rPr>
        <w:t>Journal of Indian Law</w:t>
      </w:r>
      <w:r>
        <w:rPr>
          <w:rFonts w:ascii="Times New Roman" w:hAnsi="Times New Roman" w:cs="Times New Roman"/>
        </w:rPr>
        <w:t>, vol. 50, no. 2, 2021, pp. 76-79.</w:t>
      </w:r>
    </w:p>
  </w:footnote>
  <w:footnote w:id="49">
    <w:p w14:paraId="5B16F5AB">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Verma, A. P. “Challenges in Enforcing Electoral Integrity in India.” </w:t>
      </w:r>
      <w:r>
        <w:rPr>
          <w:rStyle w:val="6"/>
          <w:rFonts w:ascii="Times New Roman" w:hAnsi="Times New Roman" w:cs="Times New Roman"/>
        </w:rPr>
        <w:t>Indian Political Science Journal</w:t>
      </w:r>
      <w:r>
        <w:rPr>
          <w:rFonts w:ascii="Times New Roman" w:hAnsi="Times New Roman" w:cs="Times New Roman"/>
        </w:rPr>
        <w:t>, vol. 58, no. 1, 2022, pp. 122-125.</w:t>
      </w:r>
    </w:p>
  </w:footnote>
  <w:footnote w:id="50">
    <w:p w14:paraId="4E22CA1E">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Joshi, S. P. “Electoral Malpractices and the Lack of Accountability in India.” </w:t>
      </w:r>
      <w:r>
        <w:rPr>
          <w:rStyle w:val="6"/>
          <w:rFonts w:ascii="Times New Roman" w:hAnsi="Times New Roman" w:cs="Times New Roman"/>
        </w:rPr>
        <w:t>Election Studies</w:t>
      </w:r>
      <w:r>
        <w:rPr>
          <w:rFonts w:ascii="Times New Roman" w:hAnsi="Times New Roman" w:cs="Times New Roman"/>
        </w:rPr>
        <w:t>, vol. 63, no. 1, 2022, pp. 34-38.</w:t>
      </w:r>
    </w:p>
  </w:footnote>
  <w:footnote w:id="51">
    <w:p w14:paraId="32E7E8D6">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Sharma, A. S. “Electoral Fraud in the 2019 Indian General Elections.” </w:t>
      </w:r>
      <w:r>
        <w:rPr>
          <w:rStyle w:val="6"/>
          <w:rFonts w:ascii="Times New Roman" w:hAnsi="Times New Roman" w:cs="Times New Roman"/>
        </w:rPr>
        <w:t>Journal of Indian Elections</w:t>
      </w:r>
      <w:r>
        <w:rPr>
          <w:rFonts w:ascii="Times New Roman" w:hAnsi="Times New Roman" w:cs="Times New Roman"/>
        </w:rPr>
        <w:t>, vol. 28, no. 2, 2020, pp. 85-88.</w:t>
      </w:r>
    </w:p>
  </w:footnote>
  <w:footnote w:id="52">
    <w:p w14:paraId="56FD72A7">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Singh, R. M. “Case Study of the Nellore Vote Buying Scandal.” </w:t>
      </w:r>
      <w:r>
        <w:rPr>
          <w:rStyle w:val="6"/>
          <w:rFonts w:ascii="Times New Roman" w:hAnsi="Times New Roman" w:cs="Times New Roman"/>
        </w:rPr>
        <w:t>Indian Political Science Journal</w:t>
      </w:r>
      <w:r>
        <w:rPr>
          <w:rFonts w:ascii="Times New Roman" w:hAnsi="Times New Roman" w:cs="Times New Roman"/>
        </w:rPr>
        <w:t>, vol. 48, no. 3, 2020, pp. 145-149.</w:t>
      </w:r>
    </w:p>
  </w:footnote>
  <w:footnote w:id="53">
    <w:p w14:paraId="155A5C79">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Tiwari, M. K. “Enforcement Gaps in Electoral Law: Lessons from Recent Indian Elections.” </w:t>
      </w:r>
      <w:r>
        <w:rPr>
          <w:rStyle w:val="6"/>
          <w:rFonts w:ascii="Times New Roman" w:hAnsi="Times New Roman" w:cs="Times New Roman"/>
        </w:rPr>
        <w:t>Journal of Election Law</w:t>
      </w:r>
      <w:r>
        <w:rPr>
          <w:rFonts w:ascii="Times New Roman" w:hAnsi="Times New Roman" w:cs="Times New Roman"/>
        </w:rPr>
        <w:t>, vol. 41, no. 1, 2021, pp. 205-209.</w:t>
      </w:r>
    </w:p>
  </w:footnote>
  <w:footnote w:id="54">
    <w:p w14:paraId="58F3190B">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Malhotra, R. K. “Legal Challenges in Deterring Electoral Fraud.” </w:t>
      </w:r>
      <w:r>
        <w:rPr>
          <w:rStyle w:val="6"/>
          <w:rFonts w:ascii="Times New Roman" w:hAnsi="Times New Roman" w:cs="Times New Roman"/>
        </w:rPr>
        <w:t>Indian Legal Review</w:t>
      </w:r>
      <w:r>
        <w:rPr>
          <w:rFonts w:ascii="Times New Roman" w:hAnsi="Times New Roman" w:cs="Times New Roman"/>
        </w:rPr>
        <w:t>, vol. 54, no. 4, 2021, pp. 112-115.</w:t>
      </w:r>
    </w:p>
  </w:footnote>
  <w:footnote w:id="55">
    <w:p w14:paraId="18F2E54A">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Gupta, R. S. “Voter Apathy and Electoral Integrity in India.” </w:t>
      </w:r>
      <w:r>
        <w:rPr>
          <w:rStyle w:val="6"/>
          <w:rFonts w:ascii="Times New Roman" w:hAnsi="Times New Roman" w:cs="Times New Roman"/>
        </w:rPr>
        <w:t>Indian Social Studies Journal</w:t>
      </w:r>
      <w:r>
        <w:rPr>
          <w:rFonts w:ascii="Times New Roman" w:hAnsi="Times New Roman" w:cs="Times New Roman"/>
        </w:rPr>
        <w:t>, vol. 46, no. 2, 2021, pp. 101-104.</w:t>
      </w:r>
    </w:p>
  </w:footnote>
  <w:footnote w:id="56">
    <w:p w14:paraId="71F05A1C">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Patel, S. B. “The Public’s Disillusionment with Electoral Systems: The Case of India.” </w:t>
      </w:r>
      <w:r>
        <w:rPr>
          <w:rStyle w:val="6"/>
          <w:rFonts w:ascii="Times New Roman" w:hAnsi="Times New Roman" w:cs="Times New Roman"/>
        </w:rPr>
        <w:t>Political Trust Review</w:t>
      </w:r>
      <w:r>
        <w:rPr>
          <w:rFonts w:ascii="Times New Roman" w:hAnsi="Times New Roman" w:cs="Times New Roman"/>
        </w:rPr>
        <w:t>, vol. 39, no. 3, 2020, pp. 23-25.</w:t>
      </w:r>
    </w:p>
  </w:footnote>
  <w:footnote w:id="57">
    <w:p w14:paraId="46C3A208">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Reddy, A. B. “Media Coverage of Electoral Malpractices and Its Impact on Public Perception.” </w:t>
      </w:r>
      <w:r>
        <w:rPr>
          <w:rStyle w:val="6"/>
          <w:rFonts w:ascii="Times New Roman" w:hAnsi="Times New Roman" w:cs="Times New Roman"/>
        </w:rPr>
        <w:t>Media and Politics Journal</w:t>
      </w:r>
      <w:r>
        <w:rPr>
          <w:rFonts w:ascii="Times New Roman" w:hAnsi="Times New Roman" w:cs="Times New Roman"/>
        </w:rPr>
        <w:t>, vol. 32, no. 2, 2021, pp. 45-48.</w:t>
      </w:r>
    </w:p>
  </w:footnote>
  <w:footnote w:id="58">
    <w:p w14:paraId="560D8784">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Sharma, R. J. “Campaigns for Electoral Integrity: Their Impact on Voter Engagement in India.” </w:t>
      </w:r>
      <w:r>
        <w:rPr>
          <w:rStyle w:val="6"/>
          <w:rFonts w:ascii="Times New Roman" w:hAnsi="Times New Roman" w:cs="Times New Roman"/>
        </w:rPr>
        <w:t>Public Opinion Studies</w:t>
      </w:r>
      <w:r>
        <w:rPr>
          <w:rFonts w:ascii="Times New Roman" w:hAnsi="Times New Roman" w:cs="Times New Roman"/>
        </w:rPr>
        <w:t>, vol. 48, no. 1, 2021, pp. 132-137.</w:t>
      </w:r>
    </w:p>
  </w:footnote>
  <w:footnote w:id="59">
    <w:p w14:paraId="42C6102E">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Mehra, S. G. “Building Trust in Electoral Systems: The Role of Public Engagement in India.” </w:t>
      </w:r>
      <w:r>
        <w:rPr>
          <w:rStyle w:val="6"/>
          <w:rFonts w:ascii="Times New Roman" w:hAnsi="Times New Roman" w:cs="Times New Roman"/>
        </w:rPr>
        <w:t>Journal of Electoral Integrity</w:t>
      </w:r>
      <w:r>
        <w:rPr>
          <w:rFonts w:ascii="Times New Roman" w:hAnsi="Times New Roman" w:cs="Times New Roman"/>
        </w:rPr>
        <w:t>, vol. 42, no. 2, 2020, pp. 98-102.</w:t>
      </w:r>
    </w:p>
  </w:footnote>
  <w:footnote w:id="60">
    <w:p w14:paraId="7134B2C4">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Singh, R. M. “Reforming Electoral Laws in India: Addressing Legal Gaps.” </w:t>
      </w:r>
      <w:r>
        <w:rPr>
          <w:rStyle w:val="6"/>
          <w:rFonts w:ascii="Times New Roman" w:hAnsi="Times New Roman" w:cs="Times New Roman"/>
        </w:rPr>
        <w:t>Journal of Indian Politics</w:t>
      </w:r>
      <w:r>
        <w:rPr>
          <w:rFonts w:ascii="Times New Roman" w:hAnsi="Times New Roman" w:cs="Times New Roman"/>
        </w:rPr>
        <w:t>, vol. 56, no. 3, 2021, pp. 132-135.</w:t>
      </w:r>
    </w:p>
  </w:footnote>
  <w:footnote w:id="61">
    <w:p w14:paraId="67880A4E">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Bhagat, V. S. “The Need for Fast-Track Election Tribunals in India.” </w:t>
      </w:r>
      <w:r>
        <w:rPr>
          <w:rStyle w:val="6"/>
          <w:rFonts w:ascii="Times New Roman" w:hAnsi="Times New Roman" w:cs="Times New Roman"/>
        </w:rPr>
        <w:t>Journal of Indian Law</w:t>
      </w:r>
      <w:r>
        <w:rPr>
          <w:rFonts w:ascii="Times New Roman" w:hAnsi="Times New Roman" w:cs="Times New Roman"/>
        </w:rPr>
        <w:t>, vol. 62, no. 4, 2020, pp. 105-108.</w:t>
      </w:r>
    </w:p>
  </w:footnote>
  <w:footnote w:id="62">
    <w:p w14:paraId="0ABBCD81">
      <w:pPr>
        <w:jc w:val="both"/>
        <w:rPr>
          <w:rFonts w:ascii="Times New Roman" w:hAnsi="Times New Roman" w:eastAsia="Times New Roman" w:cs="Times New Roman"/>
          <w:kern w:val="0"/>
          <w:sz w:val="20"/>
          <w:szCs w:val="20"/>
          <w:lang w:eastAsia="en-GB"/>
          <w14:ligatures w14:val="none"/>
        </w:rPr>
      </w:pPr>
      <w:r>
        <w:rPr>
          <w:rStyle w:val="7"/>
          <w:rFonts w:ascii="Times New Roman" w:hAnsi="Times New Roman" w:cs="Times New Roman"/>
          <w:sz w:val="20"/>
          <w:szCs w:val="20"/>
        </w:rPr>
        <w:footnoteRef/>
      </w:r>
      <w:r>
        <w:rPr>
          <w:rFonts w:ascii="Times New Roman" w:hAnsi="Times New Roman" w:cs="Times New Roman"/>
          <w:sz w:val="20"/>
          <w:szCs w:val="20"/>
        </w:rPr>
        <w:t xml:space="preserve"> Joshi, A. B. “Enhancing the Powers of the Election Commission of India: A Legal Perspective.” </w:t>
      </w:r>
      <w:r>
        <w:rPr>
          <w:rStyle w:val="6"/>
          <w:rFonts w:ascii="Times New Roman" w:hAnsi="Times New Roman" w:cs="Times New Roman"/>
          <w:sz w:val="20"/>
          <w:szCs w:val="20"/>
        </w:rPr>
        <w:t>Election Law Review</w:t>
      </w:r>
      <w:r>
        <w:rPr>
          <w:rFonts w:ascii="Times New Roman" w:hAnsi="Times New Roman" w:cs="Times New Roman"/>
          <w:sz w:val="20"/>
          <w:szCs w:val="20"/>
        </w:rPr>
        <w:t>, vol. 45, no. 2, 2021, pp. 211-215.</w:t>
      </w:r>
    </w:p>
  </w:footnote>
  <w:footnote w:id="63">
    <w:p w14:paraId="2BAE1794">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Verma, A. P. “Transparency in Campaign Financing: Addressing Loopholes in India.” </w:t>
      </w:r>
      <w:r>
        <w:rPr>
          <w:rStyle w:val="6"/>
          <w:rFonts w:ascii="Times New Roman" w:hAnsi="Times New Roman" w:cs="Times New Roman"/>
        </w:rPr>
        <w:t>Political Finance Journal</w:t>
      </w:r>
      <w:r>
        <w:rPr>
          <w:rFonts w:ascii="Times New Roman" w:hAnsi="Times New Roman" w:cs="Times New Roman"/>
        </w:rPr>
        <w:t>, vol. 50, no. 1, 2021, pp. 94-98.</w:t>
      </w:r>
    </w:p>
  </w:footnote>
  <w:footnote w:id="64">
    <w:p w14:paraId="66F667D1">
      <w:pPr>
        <w:jc w:val="both"/>
        <w:rPr>
          <w:rFonts w:ascii="Times New Roman" w:hAnsi="Times New Roman" w:eastAsia="Times New Roman" w:cs="Times New Roman"/>
          <w:kern w:val="0"/>
          <w:sz w:val="20"/>
          <w:szCs w:val="20"/>
          <w:lang w:eastAsia="en-GB"/>
          <w14:ligatures w14:val="none"/>
        </w:rPr>
      </w:pPr>
      <w:r>
        <w:rPr>
          <w:rStyle w:val="7"/>
          <w:rFonts w:ascii="Times New Roman" w:hAnsi="Times New Roman" w:cs="Times New Roman"/>
          <w:sz w:val="20"/>
          <w:szCs w:val="20"/>
        </w:rPr>
        <w:footnoteRef/>
      </w:r>
      <w:r>
        <w:rPr>
          <w:rFonts w:ascii="Times New Roman" w:hAnsi="Times New Roman" w:cs="Times New Roman"/>
          <w:sz w:val="20"/>
          <w:szCs w:val="20"/>
        </w:rPr>
        <w:t xml:space="preserve"> Gupta, R. S. “Electoral Law Reforms and Their Impact on Deterrence.” </w:t>
      </w:r>
      <w:r>
        <w:rPr>
          <w:rStyle w:val="6"/>
          <w:rFonts w:ascii="Times New Roman" w:hAnsi="Times New Roman" w:cs="Times New Roman"/>
          <w:sz w:val="20"/>
          <w:szCs w:val="20"/>
        </w:rPr>
        <w:t>Journal of Indian Legal Studies</w:t>
      </w:r>
      <w:r>
        <w:rPr>
          <w:rFonts w:ascii="Times New Roman" w:hAnsi="Times New Roman" w:cs="Times New Roman"/>
          <w:sz w:val="20"/>
          <w:szCs w:val="20"/>
        </w:rPr>
        <w:t>, vol. 40, no. 3, 2021, pp. 187-190.</w:t>
      </w:r>
    </w:p>
  </w:footnote>
  <w:footnote w:id="65">
    <w:p w14:paraId="75542AB9">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Tiwari, M. K. “Law Enforcement and Electoral Fraud in India.” </w:t>
      </w:r>
      <w:r>
        <w:rPr>
          <w:rStyle w:val="6"/>
          <w:rFonts w:ascii="Times New Roman" w:hAnsi="Times New Roman" w:cs="Times New Roman"/>
        </w:rPr>
        <w:t>Journal of Criminal Justice</w:t>
      </w:r>
      <w:r>
        <w:rPr>
          <w:rFonts w:ascii="Times New Roman" w:hAnsi="Times New Roman" w:cs="Times New Roman"/>
        </w:rPr>
        <w:t>, vol. 38, no. 2, 2022, pp. 321-324.</w:t>
      </w:r>
    </w:p>
  </w:footnote>
  <w:footnote w:id="66">
    <w:p w14:paraId="4763E774">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Mehra, N. S. “Coordination Among Election Authorities: The Key to Electoral Integrity.” </w:t>
      </w:r>
      <w:r>
        <w:rPr>
          <w:rStyle w:val="6"/>
          <w:rFonts w:ascii="Times New Roman" w:hAnsi="Times New Roman" w:cs="Times New Roman"/>
        </w:rPr>
        <w:t>Journal of Election Studies</w:t>
      </w:r>
      <w:r>
        <w:rPr>
          <w:rFonts w:ascii="Times New Roman" w:hAnsi="Times New Roman" w:cs="Times New Roman"/>
        </w:rPr>
        <w:t>, vol. 55, no. 4, 2020, pp. 90-93.</w:t>
      </w:r>
    </w:p>
  </w:footnote>
  <w:footnote w:id="67">
    <w:p w14:paraId="75D6E103">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Reddy, A. B. “Capacity Building in Law Enforcement for Electoral Integrity.” </w:t>
      </w:r>
      <w:r>
        <w:rPr>
          <w:rStyle w:val="6"/>
          <w:rFonts w:ascii="Times New Roman" w:hAnsi="Times New Roman" w:cs="Times New Roman"/>
        </w:rPr>
        <w:t>Journal of Indian Politics</w:t>
      </w:r>
      <w:r>
        <w:rPr>
          <w:rFonts w:ascii="Times New Roman" w:hAnsi="Times New Roman" w:cs="Times New Roman"/>
        </w:rPr>
        <w:t>, vol. 30, no. 1, 2021, pp. 56-59.</w:t>
      </w:r>
    </w:p>
  </w:footnote>
  <w:footnote w:id="68">
    <w:p w14:paraId="09787B77">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Thomas, K. A. “The Role of Public Engagement in Strengthening Electoral Integrity in India.” </w:t>
      </w:r>
      <w:r>
        <w:rPr>
          <w:rStyle w:val="6"/>
          <w:rFonts w:ascii="Times New Roman" w:hAnsi="Times New Roman" w:cs="Times New Roman"/>
        </w:rPr>
        <w:t>Journal of Social Policy</w:t>
      </w:r>
      <w:r>
        <w:rPr>
          <w:rFonts w:ascii="Times New Roman" w:hAnsi="Times New Roman" w:cs="Times New Roman"/>
        </w:rPr>
        <w:t>, vol. 51, no. 2, 2021, pp. 72-75.</w:t>
      </w:r>
    </w:p>
  </w:footnote>
  <w:footnote w:id="69">
    <w:p w14:paraId="5E81BF56">
      <w:pPr>
        <w:jc w:val="both"/>
        <w:rPr>
          <w:rFonts w:ascii="Times New Roman" w:hAnsi="Times New Roman" w:eastAsia="Times New Roman" w:cs="Times New Roman"/>
          <w:kern w:val="0"/>
          <w:sz w:val="20"/>
          <w:szCs w:val="20"/>
          <w:lang w:eastAsia="en-GB"/>
          <w14:ligatures w14:val="none"/>
        </w:rPr>
      </w:pPr>
      <w:r>
        <w:rPr>
          <w:rStyle w:val="7"/>
          <w:rFonts w:ascii="Times New Roman" w:hAnsi="Times New Roman" w:cs="Times New Roman"/>
          <w:sz w:val="20"/>
          <w:szCs w:val="20"/>
        </w:rPr>
        <w:footnoteRef/>
      </w:r>
      <w:r>
        <w:rPr>
          <w:rFonts w:ascii="Times New Roman" w:hAnsi="Times New Roman" w:cs="Times New Roman"/>
          <w:sz w:val="20"/>
          <w:szCs w:val="20"/>
        </w:rPr>
        <w:t xml:space="preserve"> Verma, V. K. “Empowering Citizens to Safeguard Electoral Integrity: The Role of Election Monitoring Volunteers.” </w:t>
      </w:r>
      <w:r>
        <w:rPr>
          <w:rStyle w:val="6"/>
          <w:rFonts w:ascii="Times New Roman" w:hAnsi="Times New Roman" w:cs="Times New Roman"/>
          <w:sz w:val="20"/>
          <w:szCs w:val="20"/>
        </w:rPr>
        <w:t>Journal of Civil Society</w:t>
      </w:r>
      <w:r>
        <w:rPr>
          <w:rFonts w:ascii="Times New Roman" w:hAnsi="Times New Roman" w:cs="Times New Roman"/>
          <w:sz w:val="20"/>
          <w:szCs w:val="20"/>
        </w:rPr>
        <w:t>, vol. 47, no. 3, 2020, pp. 118-120.</w:t>
      </w:r>
    </w:p>
  </w:footnote>
  <w:footnote w:id="70">
    <w:p w14:paraId="4FDC204C">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Patel, S. R. “Citizen Engagement in Electoral Oversight: Lessons from India.” </w:t>
      </w:r>
      <w:r>
        <w:rPr>
          <w:rStyle w:val="6"/>
          <w:rFonts w:ascii="Times New Roman" w:hAnsi="Times New Roman" w:cs="Times New Roman"/>
        </w:rPr>
        <w:t>Journal of Electoral Reform</w:t>
      </w:r>
      <w:r>
        <w:rPr>
          <w:rFonts w:ascii="Times New Roman" w:hAnsi="Times New Roman" w:cs="Times New Roman"/>
        </w:rPr>
        <w:t>, vol. 54, no. 1, 2021, pp. 234-238.</w:t>
      </w:r>
    </w:p>
  </w:footnote>
  <w:footnote w:id="71">
    <w:p w14:paraId="72249126">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Sharma, A. P. “Technological Advances in Electoral Integrity: India’s Journey with EVMs.” </w:t>
      </w:r>
      <w:r>
        <w:rPr>
          <w:rStyle w:val="6"/>
          <w:rFonts w:ascii="Times New Roman" w:hAnsi="Times New Roman" w:cs="Times New Roman"/>
        </w:rPr>
        <w:t>Technology Law Review</w:t>
      </w:r>
      <w:r>
        <w:rPr>
          <w:rFonts w:ascii="Times New Roman" w:hAnsi="Times New Roman" w:cs="Times New Roman"/>
        </w:rPr>
        <w:t>, vol. 42, no. 3, 2021, pp. 143-147.</w:t>
      </w:r>
    </w:p>
  </w:footnote>
  <w:footnote w:id="72">
    <w:p w14:paraId="367D0353">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Rao, M. L. “Using AI to Combat Electoral Fraud: The Indian Context.” </w:t>
      </w:r>
      <w:r>
        <w:rPr>
          <w:rStyle w:val="6"/>
          <w:rFonts w:ascii="Times New Roman" w:hAnsi="Times New Roman" w:cs="Times New Roman"/>
        </w:rPr>
        <w:t>Journal of Election Technology</w:t>
      </w:r>
      <w:r>
        <w:rPr>
          <w:rFonts w:ascii="Times New Roman" w:hAnsi="Times New Roman" w:cs="Times New Roman"/>
        </w:rPr>
        <w:t>, vol. 50, no. 2, 2020, pp. 214-218.</w:t>
      </w:r>
    </w:p>
  </w:footnote>
  <w:footnote w:id="73">
    <w:p w14:paraId="440A4083">
      <w:pPr>
        <w:jc w:val="both"/>
        <w:rPr>
          <w:rFonts w:ascii="Times New Roman" w:hAnsi="Times New Roman" w:eastAsia="Times New Roman" w:cs="Times New Roman"/>
          <w:kern w:val="0"/>
          <w:sz w:val="20"/>
          <w:szCs w:val="20"/>
          <w:lang w:eastAsia="en-GB"/>
          <w14:ligatures w14:val="none"/>
        </w:rPr>
      </w:pPr>
      <w:r>
        <w:rPr>
          <w:rStyle w:val="7"/>
          <w:rFonts w:ascii="Times New Roman" w:hAnsi="Times New Roman" w:cs="Times New Roman"/>
          <w:sz w:val="20"/>
          <w:szCs w:val="20"/>
        </w:rPr>
        <w:footnoteRef/>
      </w:r>
      <w:r>
        <w:rPr>
          <w:rFonts w:ascii="Times New Roman" w:hAnsi="Times New Roman" w:cs="Times New Roman"/>
          <w:sz w:val="20"/>
          <w:szCs w:val="20"/>
        </w:rPr>
        <w:t xml:space="preserve"> Mehra, R. S. “Cybersecurity in the Electoral Process: Ensuring the Integrity of Indian Elections.” </w:t>
      </w:r>
      <w:r>
        <w:rPr>
          <w:rStyle w:val="6"/>
          <w:rFonts w:ascii="Times New Roman" w:hAnsi="Times New Roman" w:cs="Times New Roman"/>
          <w:sz w:val="20"/>
          <w:szCs w:val="20"/>
        </w:rPr>
        <w:t>Cybersecurity Policy Journal</w:t>
      </w:r>
      <w:r>
        <w:rPr>
          <w:rFonts w:ascii="Times New Roman" w:hAnsi="Times New Roman" w:cs="Times New Roman"/>
          <w:sz w:val="20"/>
          <w:szCs w:val="20"/>
        </w:rPr>
        <w:t>, vol. 39, no. 2, 2021, pp. 79-82.</w:t>
      </w:r>
    </w:p>
  </w:footnote>
  <w:footnote w:id="74">
    <w:p w14:paraId="358C1980">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Gupta, K. S. “The Role of AI in Strengthening Electoral Integrity: A Case for India.” </w:t>
      </w:r>
      <w:r>
        <w:rPr>
          <w:rStyle w:val="6"/>
          <w:rFonts w:ascii="Times New Roman" w:hAnsi="Times New Roman" w:cs="Times New Roman"/>
        </w:rPr>
        <w:t>Political Technology Journal</w:t>
      </w:r>
      <w:r>
        <w:rPr>
          <w:rFonts w:ascii="Times New Roman" w:hAnsi="Times New Roman" w:cs="Times New Roman"/>
        </w:rPr>
        <w:t>, vol. 41, no. 1, 2022, pp. 107-110.</w:t>
      </w:r>
    </w:p>
  </w:footnote>
  <w:footnote w:id="75">
    <w:p w14:paraId="5A5DBCEC">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Singh, R. P. “Campaign Finance and Electoral Integrity in India.” </w:t>
      </w:r>
      <w:r>
        <w:rPr>
          <w:rStyle w:val="6"/>
          <w:rFonts w:ascii="Times New Roman" w:hAnsi="Times New Roman" w:cs="Times New Roman"/>
        </w:rPr>
        <w:t>Election Studies</w:t>
      </w:r>
      <w:r>
        <w:rPr>
          <w:rFonts w:ascii="Times New Roman" w:hAnsi="Times New Roman" w:cs="Times New Roman"/>
        </w:rPr>
        <w:t>, vol. 49, no. 1, 2021, pp. 81-84.</w:t>
      </w:r>
    </w:p>
  </w:footnote>
  <w:footnote w:id="76">
    <w:p w14:paraId="5CE99763">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Mehra, N. S. “Reforming Campaign Finance in India: A Comprehensive Approach.” </w:t>
      </w:r>
      <w:r>
        <w:rPr>
          <w:rStyle w:val="6"/>
          <w:rFonts w:ascii="Times New Roman" w:hAnsi="Times New Roman" w:cs="Times New Roman"/>
        </w:rPr>
        <w:t>Journal of Financial Policy</w:t>
      </w:r>
      <w:r>
        <w:rPr>
          <w:rFonts w:ascii="Times New Roman" w:hAnsi="Times New Roman" w:cs="Times New Roman"/>
        </w:rPr>
        <w:t>, vol. 53, no. 2, 2020, pp. 122-125.</w:t>
      </w:r>
    </w:p>
  </w:footnote>
  <w:footnote w:id="77">
    <w:p w14:paraId="680CB0A6">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Sharma, V. K. “Public Financing of Elections in India: An Alternative to Private Funding.” </w:t>
      </w:r>
      <w:r>
        <w:rPr>
          <w:rStyle w:val="6"/>
          <w:rFonts w:ascii="Times New Roman" w:hAnsi="Times New Roman" w:cs="Times New Roman"/>
        </w:rPr>
        <w:t>Election Law Journal</w:t>
      </w:r>
      <w:r>
        <w:rPr>
          <w:rFonts w:ascii="Times New Roman" w:hAnsi="Times New Roman" w:cs="Times New Roman"/>
        </w:rPr>
        <w:t>, vol. 40, no. 3, 2021, pp. 102-106.</w:t>
      </w:r>
    </w:p>
  </w:footnote>
  <w:footnote w:id="78">
    <w:p w14:paraId="0F1B39C8">
      <w:pPr>
        <w:pStyle w:val="8"/>
        <w:jc w:val="both"/>
        <w:rPr>
          <w:rFonts w:ascii="Times New Roman" w:hAnsi="Times New Roman" w:cs="Times New Roman"/>
          <w:lang w:val="en-US"/>
        </w:rPr>
      </w:pPr>
      <w:r>
        <w:rPr>
          <w:rStyle w:val="7"/>
          <w:rFonts w:ascii="Times New Roman" w:hAnsi="Times New Roman" w:cs="Times New Roman"/>
        </w:rPr>
        <w:footnoteRef/>
      </w:r>
      <w:r>
        <w:rPr>
          <w:rFonts w:ascii="Times New Roman" w:hAnsi="Times New Roman" w:cs="Times New Roman"/>
        </w:rPr>
        <w:t xml:space="preserve"> Dey, A. G. “Addressing Money Politics in India’s Electoral System: The Role of Transparency and Public Financing.” </w:t>
      </w:r>
      <w:r>
        <w:rPr>
          <w:rStyle w:val="6"/>
          <w:rFonts w:ascii="Times New Roman" w:hAnsi="Times New Roman" w:cs="Times New Roman"/>
        </w:rPr>
        <w:t>Journal of Political Economy</w:t>
      </w:r>
      <w:r>
        <w:rPr>
          <w:rFonts w:ascii="Times New Roman" w:hAnsi="Times New Roman" w:cs="Times New Roman"/>
        </w:rPr>
        <w:t>, vol. 44, no. 1, 2022, pp. 118-121.</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7FC06C"/>
    <w:multiLevelType w:val="singleLevel"/>
    <w:tmpl w:val="FF7FC06C"/>
    <w:lvl w:ilvl="0" w:tentative="0">
      <w:start w:val="1"/>
      <w:numFmt w:val="decimal"/>
      <w:suff w:val="space"/>
      <w:lvlText w:val="%1."/>
      <w:lvlJc w:val="left"/>
      <w:pPr>
        <w:ind w:left="-720"/>
      </w:pPr>
    </w:lvl>
  </w:abstractNum>
  <w:abstractNum w:abstractNumId="1">
    <w:nsid w:val="023A0926"/>
    <w:multiLevelType w:val="multilevel"/>
    <w:tmpl w:val="023A0926"/>
    <w:lvl w:ilvl="0" w:tentative="0">
      <w:start w:val="1"/>
      <w:numFmt w:val="decimal"/>
      <w:lvlText w:val="%1."/>
      <w:lvlJc w:val="left"/>
      <w:pPr>
        <w:tabs>
          <w:tab w:val="left" w:pos="644"/>
        </w:tabs>
        <w:ind w:left="644" w:hanging="360"/>
      </w:pPr>
    </w:lvl>
    <w:lvl w:ilvl="1" w:tentative="0">
      <w:start w:val="1"/>
      <w:numFmt w:val="decimal"/>
      <w:lvlText w:val="%2."/>
      <w:lvlJc w:val="left"/>
      <w:pPr>
        <w:tabs>
          <w:tab w:val="left" w:pos="1364"/>
        </w:tabs>
        <w:ind w:left="1364" w:hanging="360"/>
      </w:pPr>
    </w:lvl>
    <w:lvl w:ilvl="2" w:tentative="0">
      <w:start w:val="1"/>
      <w:numFmt w:val="decimal"/>
      <w:lvlText w:val="%3."/>
      <w:lvlJc w:val="left"/>
      <w:pPr>
        <w:tabs>
          <w:tab w:val="left" w:pos="2084"/>
        </w:tabs>
        <w:ind w:left="2084" w:hanging="360"/>
      </w:pPr>
    </w:lvl>
    <w:lvl w:ilvl="3" w:tentative="0">
      <w:start w:val="1"/>
      <w:numFmt w:val="decimal"/>
      <w:lvlText w:val="%4."/>
      <w:lvlJc w:val="left"/>
      <w:pPr>
        <w:tabs>
          <w:tab w:val="left" w:pos="2804"/>
        </w:tabs>
        <w:ind w:left="2804" w:hanging="360"/>
      </w:pPr>
    </w:lvl>
    <w:lvl w:ilvl="4" w:tentative="0">
      <w:start w:val="1"/>
      <w:numFmt w:val="decimal"/>
      <w:lvlText w:val="%5."/>
      <w:lvlJc w:val="left"/>
      <w:pPr>
        <w:tabs>
          <w:tab w:val="left" w:pos="3524"/>
        </w:tabs>
        <w:ind w:left="3524" w:hanging="360"/>
      </w:pPr>
    </w:lvl>
    <w:lvl w:ilvl="5" w:tentative="0">
      <w:start w:val="1"/>
      <w:numFmt w:val="decimal"/>
      <w:lvlText w:val="%6."/>
      <w:lvlJc w:val="left"/>
      <w:pPr>
        <w:tabs>
          <w:tab w:val="left" w:pos="4244"/>
        </w:tabs>
        <w:ind w:left="4244" w:hanging="360"/>
      </w:pPr>
    </w:lvl>
    <w:lvl w:ilvl="6" w:tentative="0">
      <w:start w:val="1"/>
      <w:numFmt w:val="decimal"/>
      <w:lvlText w:val="%7."/>
      <w:lvlJc w:val="left"/>
      <w:pPr>
        <w:tabs>
          <w:tab w:val="left" w:pos="4964"/>
        </w:tabs>
        <w:ind w:left="4964" w:hanging="360"/>
      </w:pPr>
    </w:lvl>
    <w:lvl w:ilvl="7" w:tentative="0">
      <w:start w:val="1"/>
      <w:numFmt w:val="decimal"/>
      <w:lvlText w:val="%8."/>
      <w:lvlJc w:val="left"/>
      <w:pPr>
        <w:tabs>
          <w:tab w:val="left" w:pos="5684"/>
        </w:tabs>
        <w:ind w:left="5684" w:hanging="360"/>
      </w:pPr>
    </w:lvl>
    <w:lvl w:ilvl="8" w:tentative="0">
      <w:start w:val="1"/>
      <w:numFmt w:val="decimal"/>
      <w:lvlText w:val="%9."/>
      <w:lvlJc w:val="left"/>
      <w:pPr>
        <w:tabs>
          <w:tab w:val="left" w:pos="6404"/>
        </w:tabs>
        <w:ind w:left="6404" w:hanging="360"/>
      </w:pPr>
    </w:lvl>
  </w:abstractNum>
  <w:abstractNum w:abstractNumId="2">
    <w:nsid w:val="13066E95"/>
    <w:multiLevelType w:val="multilevel"/>
    <w:tmpl w:val="13066E95"/>
    <w:lvl w:ilvl="0" w:tentative="0">
      <w:start w:val="1"/>
      <w:numFmt w:val="bullet"/>
      <w:lvlText w:val=""/>
      <w:lvlJc w:val="left"/>
      <w:pPr>
        <w:tabs>
          <w:tab w:val="left" w:pos="6753"/>
        </w:tabs>
        <w:ind w:left="6753" w:hanging="360"/>
      </w:pPr>
      <w:rPr>
        <w:rFonts w:hint="default" w:ascii="Symbol" w:hAnsi="Symbol"/>
        <w:sz w:val="20"/>
      </w:rPr>
    </w:lvl>
    <w:lvl w:ilvl="1" w:tentative="0">
      <w:start w:val="1"/>
      <w:numFmt w:val="bullet"/>
      <w:lvlText w:val="o"/>
      <w:lvlJc w:val="left"/>
      <w:pPr>
        <w:tabs>
          <w:tab w:val="left" w:pos="7473"/>
        </w:tabs>
        <w:ind w:left="7473" w:hanging="360"/>
      </w:pPr>
      <w:rPr>
        <w:rFonts w:hint="default" w:ascii="Courier New" w:hAnsi="Courier New"/>
        <w:sz w:val="20"/>
      </w:rPr>
    </w:lvl>
    <w:lvl w:ilvl="2" w:tentative="0">
      <w:start w:val="1"/>
      <w:numFmt w:val="bullet"/>
      <w:lvlText w:val=""/>
      <w:lvlJc w:val="left"/>
      <w:pPr>
        <w:tabs>
          <w:tab w:val="left" w:pos="8193"/>
        </w:tabs>
        <w:ind w:left="8193" w:hanging="360"/>
      </w:pPr>
      <w:rPr>
        <w:rFonts w:hint="default" w:ascii="Wingdings" w:hAnsi="Wingdings"/>
        <w:sz w:val="20"/>
      </w:rPr>
    </w:lvl>
    <w:lvl w:ilvl="3" w:tentative="0">
      <w:start w:val="1"/>
      <w:numFmt w:val="bullet"/>
      <w:lvlText w:val=""/>
      <w:lvlJc w:val="left"/>
      <w:pPr>
        <w:tabs>
          <w:tab w:val="left" w:pos="8913"/>
        </w:tabs>
        <w:ind w:left="8913" w:hanging="360"/>
      </w:pPr>
      <w:rPr>
        <w:rFonts w:hint="default" w:ascii="Wingdings" w:hAnsi="Wingdings"/>
        <w:sz w:val="20"/>
      </w:rPr>
    </w:lvl>
    <w:lvl w:ilvl="4" w:tentative="0">
      <w:start w:val="1"/>
      <w:numFmt w:val="bullet"/>
      <w:lvlText w:val=""/>
      <w:lvlJc w:val="left"/>
      <w:pPr>
        <w:tabs>
          <w:tab w:val="left" w:pos="9633"/>
        </w:tabs>
        <w:ind w:left="9633" w:hanging="360"/>
      </w:pPr>
      <w:rPr>
        <w:rFonts w:hint="default" w:ascii="Wingdings" w:hAnsi="Wingdings"/>
        <w:sz w:val="20"/>
      </w:rPr>
    </w:lvl>
    <w:lvl w:ilvl="5" w:tentative="0">
      <w:start w:val="1"/>
      <w:numFmt w:val="bullet"/>
      <w:lvlText w:val=""/>
      <w:lvlJc w:val="left"/>
      <w:pPr>
        <w:tabs>
          <w:tab w:val="left" w:pos="10353"/>
        </w:tabs>
        <w:ind w:left="10353" w:hanging="360"/>
      </w:pPr>
      <w:rPr>
        <w:rFonts w:hint="default" w:ascii="Wingdings" w:hAnsi="Wingdings"/>
        <w:sz w:val="20"/>
      </w:rPr>
    </w:lvl>
    <w:lvl w:ilvl="6" w:tentative="0">
      <w:start w:val="1"/>
      <w:numFmt w:val="bullet"/>
      <w:lvlText w:val=""/>
      <w:lvlJc w:val="left"/>
      <w:pPr>
        <w:tabs>
          <w:tab w:val="left" w:pos="11073"/>
        </w:tabs>
        <w:ind w:left="11073" w:hanging="360"/>
      </w:pPr>
      <w:rPr>
        <w:rFonts w:hint="default" w:ascii="Wingdings" w:hAnsi="Wingdings"/>
        <w:sz w:val="20"/>
      </w:rPr>
    </w:lvl>
    <w:lvl w:ilvl="7" w:tentative="0">
      <w:start w:val="1"/>
      <w:numFmt w:val="bullet"/>
      <w:lvlText w:val=""/>
      <w:lvlJc w:val="left"/>
      <w:pPr>
        <w:tabs>
          <w:tab w:val="left" w:pos="11793"/>
        </w:tabs>
        <w:ind w:left="11793" w:hanging="360"/>
      </w:pPr>
      <w:rPr>
        <w:rFonts w:hint="default" w:ascii="Wingdings" w:hAnsi="Wingdings"/>
        <w:sz w:val="20"/>
      </w:rPr>
    </w:lvl>
    <w:lvl w:ilvl="8" w:tentative="0">
      <w:start w:val="1"/>
      <w:numFmt w:val="bullet"/>
      <w:lvlText w:val=""/>
      <w:lvlJc w:val="left"/>
      <w:pPr>
        <w:tabs>
          <w:tab w:val="left" w:pos="12513"/>
        </w:tabs>
        <w:ind w:left="12513" w:hanging="360"/>
      </w:pPr>
      <w:rPr>
        <w:rFonts w:hint="default" w:ascii="Wingdings" w:hAnsi="Wingdings"/>
        <w:sz w:val="20"/>
      </w:rPr>
    </w:lvl>
  </w:abstractNum>
  <w:abstractNum w:abstractNumId="3">
    <w:nsid w:val="243002C2"/>
    <w:multiLevelType w:val="multilevel"/>
    <w:tmpl w:val="243002C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2D5667D8"/>
    <w:multiLevelType w:val="multilevel"/>
    <w:tmpl w:val="2D5667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FAA39BB"/>
    <w:multiLevelType w:val="multilevel"/>
    <w:tmpl w:val="2FAA39BB"/>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38FA0008"/>
    <w:multiLevelType w:val="multilevel"/>
    <w:tmpl w:val="38FA00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EFC6CE7"/>
    <w:multiLevelType w:val="multilevel"/>
    <w:tmpl w:val="4EFC6CE7"/>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4F930F47"/>
    <w:multiLevelType w:val="multilevel"/>
    <w:tmpl w:val="4F930F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1032548"/>
    <w:multiLevelType w:val="multilevel"/>
    <w:tmpl w:val="51032548"/>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51C377C5"/>
    <w:multiLevelType w:val="multilevel"/>
    <w:tmpl w:val="51C377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530768B9"/>
    <w:multiLevelType w:val="multilevel"/>
    <w:tmpl w:val="530768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5D6D6DC2"/>
    <w:multiLevelType w:val="multilevel"/>
    <w:tmpl w:val="5D6D6DC2"/>
    <w:lvl w:ilvl="0" w:tentative="0">
      <w:start w:val="1"/>
      <w:numFmt w:val="decimal"/>
      <w:lvlText w:val="%1)"/>
      <w:lvlJc w:val="left"/>
      <w:pPr>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6303338C"/>
    <w:multiLevelType w:val="multilevel"/>
    <w:tmpl w:val="6303338C"/>
    <w:lvl w:ilvl="0" w:tentative="0">
      <w:start w:val="1"/>
      <w:numFmt w:val="decimal"/>
      <w:lvlText w:val="%1."/>
      <w:lvlJc w:val="left"/>
      <w:pPr>
        <w:tabs>
          <w:tab w:val="left" w:pos="1070"/>
        </w:tabs>
        <w:ind w:left="107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681C4676"/>
    <w:multiLevelType w:val="multilevel"/>
    <w:tmpl w:val="681C467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699533ED"/>
    <w:multiLevelType w:val="multilevel"/>
    <w:tmpl w:val="699533E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6AFB7859"/>
    <w:multiLevelType w:val="multilevel"/>
    <w:tmpl w:val="6AFB7859"/>
    <w:lvl w:ilvl="0" w:tentative="0">
      <w:start w:val="2"/>
      <w:numFmt w:val="decimal"/>
      <w:lvlText w:val="%1."/>
      <w:lvlJc w:val="left"/>
      <w:pPr>
        <w:tabs>
          <w:tab w:val="left" w:pos="360"/>
        </w:tabs>
        <w:ind w:left="36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71B4619A"/>
    <w:multiLevelType w:val="multilevel"/>
    <w:tmpl w:val="71B4619A"/>
    <w:lvl w:ilvl="0" w:tentative="0">
      <w:start w:val="1"/>
      <w:numFmt w:val="decimal"/>
      <w:lvlText w:val="%1."/>
      <w:lvlJc w:val="left"/>
      <w:pPr>
        <w:ind w:left="360" w:hanging="360"/>
      </w:pPr>
      <w:rPr>
        <w:rFonts w:hint="default"/>
        <w:b/>
        <w:bCs/>
      </w:rPr>
    </w:lvl>
    <w:lvl w:ilvl="1" w:tentative="0">
      <w:start w:val="1"/>
      <w:numFmt w:val="decimal"/>
      <w:isLgl/>
      <w:lvlText w:val="%1.%2."/>
      <w:lvlJc w:val="left"/>
      <w:pPr>
        <w:ind w:left="360" w:hanging="36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abstractNum w:abstractNumId="18">
    <w:nsid w:val="78983885"/>
    <w:multiLevelType w:val="multilevel"/>
    <w:tmpl w:val="78983885"/>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7A1E2B2B"/>
    <w:multiLevelType w:val="multilevel"/>
    <w:tmpl w:val="7A1E2B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7"/>
  </w:num>
  <w:num w:numId="3">
    <w:abstractNumId w:val="13"/>
  </w:num>
  <w:num w:numId="4">
    <w:abstractNumId w:val="3"/>
  </w:num>
  <w:num w:numId="5">
    <w:abstractNumId w:val="19"/>
  </w:num>
  <w:num w:numId="6">
    <w:abstractNumId w:val="1"/>
  </w:num>
  <w:num w:numId="7">
    <w:abstractNumId w:val="2"/>
  </w:num>
  <w:num w:numId="8">
    <w:abstractNumId w:val="7"/>
  </w:num>
  <w:num w:numId="9">
    <w:abstractNumId w:val="6"/>
  </w:num>
  <w:num w:numId="10">
    <w:abstractNumId w:val="18"/>
  </w:num>
  <w:num w:numId="11">
    <w:abstractNumId w:val="4"/>
  </w:num>
  <w:num w:numId="12">
    <w:abstractNumId w:val="9"/>
  </w:num>
  <w:num w:numId="13">
    <w:abstractNumId w:val="11"/>
  </w:num>
  <w:num w:numId="14">
    <w:abstractNumId w:val="14"/>
  </w:num>
  <w:num w:numId="15">
    <w:abstractNumId w:val="10"/>
  </w:num>
  <w:num w:numId="16">
    <w:abstractNumId w:val="16"/>
  </w:num>
  <w:num w:numId="17">
    <w:abstractNumId w:val="8"/>
  </w:num>
  <w:num w:numId="18">
    <w:abstractNumId w:val="15"/>
  </w:num>
  <w:num w:numId="19">
    <w:abstractNumId w:val="5"/>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ocumentProtection w:enforcement="0"/>
  <w:defaultTabStop w:val="720"/>
  <w:characterSpacingControl w:val="doNotCompress"/>
  <w:footnotePr>
    <w:footnote w:id="158"/>
    <w:footnote w:id="159"/>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390E"/>
    <w:rsid w:val="00143375"/>
    <w:rsid w:val="00466ED0"/>
    <w:rsid w:val="004A29B4"/>
    <w:rsid w:val="004A5BBF"/>
    <w:rsid w:val="004F3C1B"/>
    <w:rsid w:val="005F390E"/>
    <w:rsid w:val="006F46A3"/>
    <w:rsid w:val="00847F77"/>
    <w:rsid w:val="008A36B9"/>
    <w:rsid w:val="008D4D92"/>
    <w:rsid w:val="0092126D"/>
    <w:rsid w:val="00A7596F"/>
    <w:rsid w:val="00AE7002"/>
    <w:rsid w:val="00C322D6"/>
    <w:rsid w:val="00D82538"/>
    <w:rsid w:val="00E24115"/>
    <w:rsid w:val="00EB3CC6"/>
    <w:rsid w:val="00FA2DCB"/>
    <w:rsid w:val="F3D7573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kern w:val="2"/>
      <w:sz w:val="24"/>
      <w:szCs w:val="24"/>
      <w:lang w:val="en-IN" w:eastAsia="en-US" w:bidi="ar-SA"/>
      <w14:ligatures w14:val="standardContextual"/>
    </w:rPr>
  </w:style>
  <w:style w:type="paragraph" w:styleId="2">
    <w:name w:val="heading 3"/>
    <w:basedOn w:val="1"/>
    <w:link w:val="11"/>
    <w:qFormat/>
    <w:uiPriority w:val="9"/>
    <w:pPr>
      <w:spacing w:before="100" w:beforeAutospacing="1" w:after="100" w:afterAutospacing="1"/>
      <w:outlineLvl w:val="2"/>
    </w:pPr>
    <w:rPr>
      <w:rFonts w:ascii="Times New Roman" w:hAnsi="Times New Roman" w:eastAsia="Times New Roman" w:cs="Times New Roman"/>
      <w:b/>
      <w:bCs/>
      <w:kern w:val="0"/>
      <w:sz w:val="27"/>
      <w:szCs w:val="27"/>
      <w:lang w:eastAsia="en-GB"/>
      <w14:ligatures w14:val="none"/>
    </w:rPr>
  </w:style>
  <w:style w:type="paragraph" w:styleId="3">
    <w:name w:val="heading 4"/>
    <w:basedOn w:val="1"/>
    <w:link w:val="12"/>
    <w:qFormat/>
    <w:uiPriority w:val="9"/>
    <w:pPr>
      <w:spacing w:before="100" w:beforeAutospacing="1" w:after="100" w:afterAutospacing="1"/>
      <w:outlineLvl w:val="3"/>
    </w:pPr>
    <w:rPr>
      <w:rFonts w:ascii="Times New Roman" w:hAnsi="Times New Roman" w:eastAsia="Times New Roman" w:cs="Times New Roman"/>
      <w:b/>
      <w:bCs/>
      <w:kern w:val="0"/>
      <w:lang w:eastAsia="en-GB"/>
      <w14:ligatures w14:val="none"/>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6">
    <w:name w:val="Emphasis"/>
    <w:basedOn w:val="4"/>
    <w:qFormat/>
    <w:uiPriority w:val="20"/>
    <w:rPr>
      <w:i/>
      <w:iCs/>
    </w:rPr>
  </w:style>
  <w:style w:type="character" w:styleId="7">
    <w:name w:val="footnote reference"/>
    <w:basedOn w:val="4"/>
    <w:semiHidden/>
    <w:unhideWhenUsed/>
    <w:uiPriority w:val="99"/>
    <w:rPr>
      <w:vertAlign w:val="superscript"/>
    </w:rPr>
  </w:style>
  <w:style w:type="paragraph" w:styleId="8">
    <w:name w:val="footnote text"/>
    <w:basedOn w:val="1"/>
    <w:link w:val="13"/>
    <w:semiHidden/>
    <w:unhideWhenUsed/>
    <w:uiPriority w:val="99"/>
    <w:rPr>
      <w:sz w:val="20"/>
      <w:szCs w:val="20"/>
    </w:rPr>
  </w:style>
  <w:style w:type="paragraph" w:styleId="9">
    <w:name w:val="Normal (Web)"/>
    <w:basedOn w:val="1"/>
    <w:unhideWhenUsed/>
    <w:uiPriority w:val="99"/>
    <w:pPr>
      <w:spacing w:before="100" w:beforeAutospacing="1" w:after="100" w:afterAutospacing="1"/>
    </w:pPr>
    <w:rPr>
      <w:rFonts w:ascii="Times New Roman" w:hAnsi="Times New Roman" w:eastAsia="Times New Roman" w:cs="Times New Roman"/>
      <w:kern w:val="0"/>
      <w:lang w:eastAsia="en-GB"/>
      <w14:ligatures w14:val="none"/>
    </w:rPr>
  </w:style>
  <w:style w:type="character" w:styleId="10">
    <w:name w:val="Strong"/>
    <w:basedOn w:val="4"/>
    <w:qFormat/>
    <w:uiPriority w:val="22"/>
    <w:rPr>
      <w:b/>
      <w:bCs/>
    </w:rPr>
  </w:style>
  <w:style w:type="character" w:customStyle="1" w:styleId="11">
    <w:name w:val="Heading 3 Char"/>
    <w:basedOn w:val="4"/>
    <w:link w:val="2"/>
    <w:uiPriority w:val="9"/>
    <w:rPr>
      <w:rFonts w:ascii="Times New Roman" w:hAnsi="Times New Roman" w:eastAsia="Times New Roman" w:cs="Times New Roman"/>
      <w:b/>
      <w:bCs/>
      <w:kern w:val="0"/>
      <w:sz w:val="27"/>
      <w:szCs w:val="27"/>
      <w:lang w:eastAsia="en-GB"/>
      <w14:ligatures w14:val="none"/>
    </w:rPr>
  </w:style>
  <w:style w:type="character" w:customStyle="1" w:styleId="12">
    <w:name w:val="Heading 4 Char"/>
    <w:basedOn w:val="4"/>
    <w:link w:val="3"/>
    <w:uiPriority w:val="9"/>
    <w:rPr>
      <w:rFonts w:ascii="Times New Roman" w:hAnsi="Times New Roman" w:eastAsia="Times New Roman" w:cs="Times New Roman"/>
      <w:b/>
      <w:bCs/>
      <w:kern w:val="0"/>
      <w:lang w:eastAsia="en-GB"/>
      <w14:ligatures w14:val="none"/>
    </w:rPr>
  </w:style>
  <w:style w:type="character" w:customStyle="1" w:styleId="13">
    <w:name w:val="Footnote Text Char"/>
    <w:basedOn w:val="4"/>
    <w:link w:val="8"/>
    <w:semiHidden/>
    <w:uiPriority w:val="99"/>
    <w:rPr>
      <w:sz w:val="20"/>
      <w:szCs w:val="20"/>
    </w:rPr>
  </w:style>
  <w:style w:type="paragraph" w:styleId="1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7598B1D6-7978-804A-80EF-101B6E8B16C3}">
  <ds:schemaRefs/>
</ds:datastoreItem>
</file>

<file path=docProps/app.xml><?xml version="1.0" encoding="utf-8"?>
<Properties xmlns="http://schemas.openxmlformats.org/officeDocument/2006/extended-properties" xmlns:vt="http://schemas.openxmlformats.org/officeDocument/2006/docPropsVTypes">
  <Template>Normal.dotm</Template>
  <Pages>23</Pages>
  <Words>6220</Words>
  <Characters>35460</Characters>
  <Lines>295</Lines>
  <Paragraphs>83</Paragraphs>
  <TotalTime>78</TotalTime>
  <ScaleCrop>false</ScaleCrop>
  <LinksUpToDate>false</LinksUpToDate>
  <CharactersWithSpaces>41597</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2024-12-20T10:39:00Z</dcterms:created>
  <dc:creator>Swaroop Choudary</dc:creator>
  <cp:lastModifiedBy>WPS_1766916888</cp:lastModifiedBy>
  <dcterms:modified xsi:type="dcterms:W3CDTF">2026-03-04T18:31:33Z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5242FD47B64B54802D2DA86985F7BFB1_42</vt:lpwstr>
  </property>
</Properties>
</file>