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10080"/>
            <w:shd w:fill="0F172A"/>
            <w:tcMar>
              <w:top w:w="260" w:type="dxa"/>
              <w:bottom w:w="260" w:type="dxa"/>
              <w:left w:w="300" w:type="dxa"/>
              <w:right w:w="300" w:type="dxa"/>
            </w:tcMar>
          </w:tcPr>
          <w:p>
            <w:pPr>
              <w:jc w:val="left"/>
            </w:pPr>
            <w:r>
              <w:rPr>
                <w:rFonts w:ascii="Segoe UI" w:hAnsi="Segoe UI"/>
                <w:b/>
                <w:color w:val="2DD4BF"/>
                <w:sz w:val="19"/>
              </w:rPr>
              <w:t>BENUE STATE IDEAS-TVET CAPACITY BUILDING INITIATIVE</w:t>
              <w:br/>
              <w:t>GREG &amp; CO. ICT HUB LEARNING MANAGEMENT SYSTEM (LMS)</w:t>
            </w:r>
          </w:p>
          <w:p>
            <w:pPr>
              <w:spacing w:before="160"/>
            </w:pPr>
            <w:r>
              <w:rPr>
                <w:rFonts w:ascii="Segoe UI" w:hAnsi="Segoe UI"/>
                <w:b/>
                <w:color w:val="FFFFFF"/>
                <w:sz w:val="32"/>
              </w:rPr>
              <w:t>TVET MCQ Examination &amp; Competency Assessment Module</w:t>
              <w:br/>
              <w:t>Comprehensive User &amp; Administrator Operational Manual</w:t>
            </w:r>
          </w:p>
          <w:p>
            <w:pPr>
              <w:spacing w:before="120"/>
            </w:pPr>
            <w:r>
              <w:rPr>
                <w:rFonts w:ascii="Segoe UI" w:hAnsi="Segoe UI"/>
                <w:color w:val="CBD5E1"/>
                <w:sz w:val="20"/>
              </w:rPr>
              <w:t>Official Technical Reference for Candidates, TVET Teachers, Evaluators, and Platform Administrators</w:t>
            </w:r>
          </w:p>
          <w:p>
            <w:pPr>
              <w:spacing w:before="200"/>
            </w:pPr>
            <w:r>
              <w:rPr>
                <w:rFonts w:ascii="Segoe UI" w:hAnsi="Segoe UI"/>
                <w:color w:val="94A3B8"/>
                <w:sz w:val="17"/>
              </w:rPr>
              <w:t>Version: 1.0 Production Release • Published: October 2026 • Makurdi, Benue State, Nigeria</w:t>
            </w:r>
          </w:p>
        </w:tc>
      </w:tr>
    </w:tbl>
    <w:p>
      <w:pPr>
        <w:spacing w:before="160"/>
      </w:pPr>
    </w:p>
    <w:p>
      <w:pPr>
        <w:keepNext/>
        <w:spacing w:before="320" w:after="80"/>
      </w:pPr>
      <w:r>
        <w:rPr>
          <w:rFonts w:ascii="Segoe UI" w:hAnsi="Segoe UI"/>
          <w:b/>
          <w:color w:val="0F172A"/>
          <w:sz w:val="28"/>
        </w:rPr>
        <w:t>1. Executive Overview &amp; System Architecture</w:t>
      </w:r>
    </w:p>
    <w:p>
      <w:r>
        <w:t xml:space="preserve">The </w:t>
      </w:r>
      <w:r>
        <w:rPr>
          <w:b/>
        </w:rPr>
        <w:t>TVET MCQ Examination &amp; Competency Assessment Engine</w:t>
      </w:r>
      <w:r>
        <w:t xml:space="preserve"> is a mission-critical digital assessment platform within the Greg ICT Hub LMS. It provides rigorous, competency-oriented multiple-choice question testing for technical teachers, vocational trainees, and craft apprentices across participating Technical Colleges in Benue State and partner institutions.</w:t>
      </w:r>
    </w:p>
    <w:tbl>
      <w:tblPr>
        <w:tblW w:type="auto" w:w="0"/>
        <w:jc w:val="center"/>
        <w:tblLayout w:type="fixed"/>
        <w:tblLook w:firstColumn="1" w:firstRow="1" w:lastColumn="0" w:lastRow="0" w:noHBand="0" w:noVBand="1" w:val="04A0"/>
      </w:tblPr>
      <w:tblGrid>
        <w:gridCol w:w="9792"/>
      </w:tblGrid>
      <w:tr>
        <w:tc>
          <w:tcPr>
            <w:tcW w:type="dxa" w:w="10080"/>
            <w:shd w:fill="F0FDFA"/>
            <w:tcMar>
              <w:top w:w="140" w:type="dxa"/>
              <w:bottom w:w="140" w:type="dxa"/>
              <w:left w:w="200" w:type="dxa"/>
              <w:right w:w="200" w:type="dxa"/>
            </w:tcMar>
            <w:tcBorders>
              <w:top w:val="none"/>
              <w:left w:val="single" w:sz="24" w:space="0" w:color="0D9488"/>
              <w:bottom w:val="none"/>
              <w:right w:val="none"/>
            </w:tcBorders>
          </w:tcPr>
          <w:p>
            <w:pPr>
              <w:spacing w:before="40" w:after="40" w:line="276" w:lineRule="auto"/>
            </w:pPr>
            <w:r>
              <w:rPr>
                <w:rFonts w:ascii="Segoe UI" w:hAnsi="Segoe UI"/>
                <w:b/>
                <w:color w:val="0F766E"/>
                <w:sz w:val="19"/>
              </w:rPr>
              <w:t xml:space="preserve">[SECURITY &amp; INTEGRITY ASSURANCE] </w:t>
            </w:r>
            <w:r>
              <w:rPr>
                <w:rFonts w:ascii="Segoe UI" w:hAnsi="Segoe UI"/>
                <w:color w:val="334155"/>
                <w:sz w:val="19"/>
              </w:rPr>
              <w:t>All assessments feature server-side anti-leak mechanisms: correct option keys and rationales are kept completely hidden from client browser inspection during the active exam session and are only revealed upon finalized submission.</w:t>
            </w:r>
          </w:p>
        </w:tc>
      </w:tr>
    </w:tbl>
    <w:p>
      <w:pPr>
        <w:spacing w:before="0" w:after="120"/>
      </w:pPr>
    </w:p>
    <w:p>
      <w:pPr>
        <w:keepNext/>
        <w:spacing w:before="240" w:after="60"/>
      </w:pPr>
      <w:r>
        <w:rPr>
          <w:rFonts w:ascii="Segoe UI" w:hAnsi="Segoe UI"/>
          <w:b/>
          <w:color w:val="0D9488"/>
          <w:sz w:val="23"/>
        </w:rPr>
        <w:t>System Role Capabilities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3312"/>
            <w:shd w:fill="0F172A"/>
            <w:tcMar>
              <w:top w:w="120" w:type="dxa"/>
              <w:bottom w:w="120" w:type="dxa"/>
              <w:left w:w="140" w:type="dxa"/>
              <w:right w:w="140" w:type="dxa"/>
            </w:tcMar>
          </w:tcPr>
          <w:p>
            <w:pPr>
              <w:spacing w:before="40" w:after="40"/>
              <w:jc w:val="left"/>
            </w:pPr>
            <w:r>
              <w:rPr>
                <w:rFonts w:ascii="Segoe UI" w:hAnsi="Segoe UI"/>
                <w:b/>
                <w:color w:val="FFFFFF"/>
                <w:sz w:val="18"/>
              </w:rPr>
              <w:t>Feature / Capability</w:t>
            </w:r>
          </w:p>
        </w:tc>
        <w:tc>
          <w:tcPr>
            <w:tcW w:type="dxa" w:w="2160"/>
            <w:shd w:fill="0F172A"/>
            <w:tcMar>
              <w:top w:w="120" w:type="dxa"/>
              <w:bottom w:w="120" w:type="dxa"/>
              <w:left w:w="140" w:type="dxa"/>
              <w:right w:w="140" w:type="dxa"/>
            </w:tcMar>
          </w:tcPr>
          <w:p>
            <w:pPr>
              <w:spacing w:before="40" w:after="40"/>
              <w:jc w:val="left"/>
            </w:pPr>
            <w:r>
              <w:rPr>
                <w:rFonts w:ascii="Segoe UI" w:hAnsi="Segoe UI"/>
                <w:b/>
                <w:color w:val="FFFFFF"/>
                <w:sz w:val="18"/>
              </w:rPr>
              <w:t>Teacher / Candidate</w:t>
            </w:r>
          </w:p>
        </w:tc>
        <w:tc>
          <w:tcPr>
            <w:tcW w:type="dxa" w:w="2160"/>
            <w:shd w:fill="0F172A"/>
            <w:tcMar>
              <w:top w:w="120" w:type="dxa"/>
              <w:bottom w:w="120" w:type="dxa"/>
              <w:left w:w="140" w:type="dxa"/>
              <w:right w:w="140" w:type="dxa"/>
            </w:tcMar>
          </w:tcPr>
          <w:p>
            <w:pPr>
              <w:spacing w:before="40" w:after="40"/>
              <w:jc w:val="left"/>
            </w:pPr>
            <w:r>
              <w:rPr>
                <w:rFonts w:ascii="Segoe UI" w:hAnsi="Segoe UI"/>
                <w:b/>
                <w:color w:val="FFFFFF"/>
                <w:sz w:val="18"/>
              </w:rPr>
              <w:t>Facilitator / Evaluator</w:t>
            </w:r>
          </w:p>
        </w:tc>
        <w:tc>
          <w:tcPr>
            <w:tcW w:type="dxa" w:w="2160"/>
            <w:shd w:fill="0F172A"/>
            <w:tcMar>
              <w:top w:w="120" w:type="dxa"/>
              <w:bottom w:w="120" w:type="dxa"/>
              <w:left w:w="140" w:type="dxa"/>
              <w:right w:w="140" w:type="dxa"/>
            </w:tcMar>
          </w:tcPr>
          <w:p>
            <w:pPr>
              <w:spacing w:before="40" w:after="40"/>
              <w:jc w:val="left"/>
            </w:pPr>
            <w:r>
              <w:rPr>
                <w:rFonts w:ascii="Segoe UI" w:hAnsi="Segoe UI"/>
                <w:b/>
                <w:color w:val="FFFFFF"/>
                <w:sz w:val="18"/>
              </w:rPr>
              <w:t>LMS Administrator</w:t>
            </w:r>
          </w:p>
        </w:tc>
      </w:tr>
      <w:tr>
        <w:tc>
          <w:tcPr>
            <w:tcW w:type="dxa" w:w="3312"/>
            <w:shd w:fill="FFFFFF"/>
            <w:tcMar>
              <w:top w:w="100" w:type="dxa"/>
              <w:bottom w:w="100" w:type="dxa"/>
              <w:left w:w="140" w:type="dxa"/>
              <w:right w:w="140" w:type="dxa"/>
            </w:tcMar>
          </w:tcPr>
          <w:p>
            <w:pPr>
              <w:spacing w:before="40" w:after="40"/>
              <w:jc w:val="left"/>
            </w:pPr>
            <w:r>
              <w:rPr>
                <w:rFonts w:ascii="Segoe UI" w:hAnsi="Segoe UI"/>
                <w:color w:val="1E293B"/>
                <w:sz w:val="17"/>
              </w:rPr>
              <w:t>View Available Exams &amp; Instructions</w:t>
            </w:r>
          </w:p>
        </w:tc>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Yes (Active Only)</w:t>
            </w:r>
          </w:p>
        </w:tc>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Yes (All)</w:t>
            </w:r>
          </w:p>
        </w:tc>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Yes (All)</w:t>
            </w:r>
          </w:p>
        </w:tc>
      </w:tr>
      <w:tr>
        <w:tc>
          <w:tcPr>
            <w:tcW w:type="dxa" w:w="3312"/>
            <w:shd w:fill="F8FAFC"/>
            <w:tcMar>
              <w:top w:w="100" w:type="dxa"/>
              <w:bottom w:w="100" w:type="dxa"/>
              <w:left w:w="140" w:type="dxa"/>
              <w:right w:w="140" w:type="dxa"/>
            </w:tcMar>
          </w:tcPr>
          <w:p>
            <w:pPr>
              <w:spacing w:before="40" w:after="40"/>
              <w:jc w:val="left"/>
            </w:pPr>
            <w:r>
              <w:rPr>
                <w:rFonts w:ascii="Segoe UI" w:hAnsi="Segoe UI"/>
                <w:color w:val="1E293B"/>
                <w:sz w:val="17"/>
              </w:rPr>
              <w:t>Take Timed Assessment &amp; Auto-Save</w:t>
            </w:r>
          </w:p>
        </w:tc>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Yes</w:t>
            </w:r>
          </w:p>
        </w:tc>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Yes (Practice)</w:t>
            </w:r>
          </w:p>
        </w:tc>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Yes (Practice)</w:t>
            </w:r>
          </w:p>
        </w:tc>
      </w:tr>
      <w:tr>
        <w:tc>
          <w:tcPr>
            <w:tcW w:type="dxa" w:w="3312"/>
            <w:shd w:fill="FFFFFF"/>
            <w:tcMar>
              <w:top w:w="100" w:type="dxa"/>
              <w:bottom w:w="100" w:type="dxa"/>
              <w:left w:w="140" w:type="dxa"/>
              <w:right w:w="140" w:type="dxa"/>
            </w:tcMar>
          </w:tcPr>
          <w:p>
            <w:pPr>
              <w:spacing w:before="40" w:after="40"/>
              <w:jc w:val="left"/>
            </w:pPr>
            <w:r>
              <w:rPr>
                <w:rFonts w:ascii="Segoe UI" w:hAnsi="Segoe UI"/>
                <w:color w:val="1E293B"/>
                <w:sz w:val="17"/>
              </w:rPr>
              <w:t>Immediate Result &amp; Diagnostic Breakdown</w:t>
            </w:r>
          </w:p>
        </w:tc>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Yes (Own Attempt)</w:t>
            </w:r>
          </w:p>
        </w:tc>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Yes (All Teachers)</w:t>
            </w:r>
          </w:p>
        </w:tc>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Yes (All Teachers)</w:t>
            </w:r>
          </w:p>
        </w:tc>
      </w:tr>
      <w:tr>
        <w:tc>
          <w:tcPr>
            <w:tcW w:type="dxa" w:w="3312"/>
            <w:shd w:fill="F8FAFC"/>
            <w:tcMar>
              <w:top w:w="100" w:type="dxa"/>
              <w:bottom w:w="100" w:type="dxa"/>
              <w:left w:w="140" w:type="dxa"/>
              <w:right w:w="140" w:type="dxa"/>
            </w:tcMar>
          </w:tcPr>
          <w:p>
            <w:pPr>
              <w:spacing w:before="40" w:after="40"/>
              <w:jc w:val="left"/>
            </w:pPr>
            <w:r>
              <w:rPr>
                <w:rFonts w:ascii="Segoe UI" w:hAnsi="Segoe UI"/>
                <w:color w:val="1E293B"/>
                <w:sz w:val="17"/>
              </w:rPr>
              <w:t>Print Official Individual Evaluation Slip</w:t>
            </w:r>
          </w:p>
        </w:tc>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Yes (Personal)</w:t>
            </w:r>
          </w:p>
        </w:tc>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Yes (Any / Batch)</w:t>
            </w:r>
          </w:p>
        </w:tc>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Yes (Any / Batch)</w:t>
            </w:r>
          </w:p>
        </w:tc>
      </w:tr>
      <w:tr>
        <w:tc>
          <w:tcPr>
            <w:tcW w:type="dxa" w:w="3312"/>
            <w:shd w:fill="FFFFFF"/>
            <w:tcMar>
              <w:top w:w="100" w:type="dxa"/>
              <w:bottom w:w="100" w:type="dxa"/>
              <w:left w:w="140" w:type="dxa"/>
              <w:right w:w="140" w:type="dxa"/>
            </w:tcMar>
          </w:tcPr>
          <w:p>
            <w:pPr>
              <w:spacing w:before="40" w:after="40"/>
              <w:jc w:val="left"/>
            </w:pPr>
            <w:r>
              <w:rPr>
                <w:rFonts w:ascii="Segoe UI" w:hAnsi="Segoe UI"/>
                <w:color w:val="1E293B"/>
                <w:sz w:val="17"/>
              </w:rPr>
              <w:t>Institutional Analytics &amp; Pass Rate KPI</w:t>
            </w:r>
          </w:p>
        </w:tc>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No</w:t>
            </w:r>
          </w:p>
        </w:tc>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Yes (Real-Time)</w:t>
            </w:r>
          </w:p>
        </w:tc>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Yes (Real-Time)</w:t>
            </w:r>
          </w:p>
        </w:tc>
      </w:tr>
      <w:tr>
        <w:tc>
          <w:tcPr>
            <w:tcW w:type="dxa" w:w="3312"/>
            <w:shd w:fill="F8FAFC"/>
            <w:tcMar>
              <w:top w:w="100" w:type="dxa"/>
              <w:bottom w:w="100" w:type="dxa"/>
              <w:left w:w="140" w:type="dxa"/>
              <w:right w:w="140" w:type="dxa"/>
            </w:tcMar>
          </w:tcPr>
          <w:p>
            <w:pPr>
              <w:spacing w:before="40" w:after="40"/>
              <w:jc w:val="left"/>
            </w:pPr>
            <w:r>
              <w:rPr>
                <w:rFonts w:ascii="Segoe UI" w:hAnsi="Segoe UI"/>
                <w:color w:val="1E293B"/>
                <w:sz w:val="17"/>
              </w:rPr>
              <w:t>Multi-Filter by State, College, Status</w:t>
            </w:r>
          </w:p>
        </w:tc>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No</w:t>
            </w:r>
          </w:p>
        </w:tc>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Yes</w:t>
            </w:r>
          </w:p>
        </w:tc>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Yes</w:t>
            </w:r>
          </w:p>
        </w:tc>
      </w:tr>
      <w:tr>
        <w:tc>
          <w:tcPr>
            <w:tcW w:type="dxa" w:w="3312"/>
            <w:shd w:fill="FFFFFF"/>
            <w:tcMar>
              <w:top w:w="100" w:type="dxa"/>
              <w:bottom w:w="100" w:type="dxa"/>
              <w:left w:w="140" w:type="dxa"/>
              <w:right w:w="140" w:type="dxa"/>
            </w:tcMar>
          </w:tcPr>
          <w:p>
            <w:pPr>
              <w:spacing w:before="40" w:after="40"/>
              <w:jc w:val="left"/>
            </w:pPr>
            <w:r>
              <w:rPr>
                <w:rFonts w:ascii="Segoe UI" w:hAnsi="Segoe UI"/>
                <w:color w:val="1E293B"/>
                <w:sz w:val="17"/>
              </w:rPr>
              <w:t>Collective Broadsheet Roster Printing</w:t>
            </w:r>
          </w:p>
        </w:tc>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No</w:t>
            </w:r>
          </w:p>
        </w:tc>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Yes</w:t>
            </w:r>
          </w:p>
        </w:tc>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Yes</w:t>
            </w:r>
          </w:p>
        </w:tc>
      </w:tr>
      <w:tr>
        <w:tc>
          <w:tcPr>
            <w:tcW w:type="dxa" w:w="3312"/>
            <w:shd w:fill="F8FAFC"/>
            <w:tcMar>
              <w:top w:w="100" w:type="dxa"/>
              <w:bottom w:w="100" w:type="dxa"/>
              <w:left w:w="140" w:type="dxa"/>
              <w:right w:w="140" w:type="dxa"/>
            </w:tcMar>
          </w:tcPr>
          <w:p>
            <w:pPr>
              <w:spacing w:before="40" w:after="40"/>
              <w:jc w:val="left"/>
            </w:pPr>
            <w:r>
              <w:rPr>
                <w:rFonts w:ascii="Segoe UI" w:hAnsi="Segoe UI"/>
                <w:color w:val="1E293B"/>
                <w:sz w:val="17"/>
              </w:rPr>
              <w:t>Streaming UTF-8 CSV Score Export</w:t>
            </w:r>
          </w:p>
        </w:tc>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No</w:t>
            </w:r>
          </w:p>
        </w:tc>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Yes</w:t>
            </w:r>
          </w:p>
        </w:tc>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Yes</w:t>
            </w:r>
          </w:p>
        </w:tc>
      </w:tr>
      <w:tr>
        <w:tc>
          <w:tcPr>
            <w:tcW w:type="dxa" w:w="3312"/>
            <w:shd w:fill="FFFFFF"/>
            <w:tcMar>
              <w:top w:w="100" w:type="dxa"/>
              <w:bottom w:w="100" w:type="dxa"/>
              <w:left w:w="140" w:type="dxa"/>
              <w:right w:w="140" w:type="dxa"/>
            </w:tcMar>
          </w:tcPr>
          <w:p>
            <w:pPr>
              <w:spacing w:before="40" w:after="40"/>
              <w:jc w:val="left"/>
            </w:pPr>
            <w:r>
              <w:rPr>
                <w:rFonts w:ascii="Segoe UI" w:hAnsi="Segoe UI"/>
                <w:color w:val="1E293B"/>
                <w:sz w:val="17"/>
              </w:rPr>
              <w:t>Create New Examinations &amp; Categories</w:t>
            </w:r>
          </w:p>
        </w:tc>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No</w:t>
            </w:r>
          </w:p>
        </w:tc>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Yes</w:t>
            </w:r>
          </w:p>
        </w:tc>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Yes</w:t>
            </w:r>
          </w:p>
        </w:tc>
      </w:tr>
      <w:tr>
        <w:tc>
          <w:tcPr>
            <w:tcW w:type="dxa" w:w="3312"/>
            <w:shd w:fill="F8FAFC"/>
            <w:tcMar>
              <w:top w:w="100" w:type="dxa"/>
              <w:bottom w:w="100" w:type="dxa"/>
              <w:left w:w="140" w:type="dxa"/>
              <w:right w:w="140" w:type="dxa"/>
            </w:tcMar>
          </w:tcPr>
          <w:p>
            <w:pPr>
              <w:spacing w:before="40" w:after="40"/>
              <w:jc w:val="left"/>
            </w:pPr>
            <w:r>
              <w:rPr>
                <w:rFonts w:ascii="Segoe UI" w:hAnsi="Segoe UI"/>
                <w:color w:val="1E293B"/>
                <w:sz w:val="17"/>
              </w:rPr>
              <w:t>Individual Question Authoring &amp; Editing</w:t>
            </w:r>
          </w:p>
        </w:tc>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No</w:t>
            </w:r>
          </w:p>
        </w:tc>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Yes</w:t>
            </w:r>
          </w:p>
        </w:tc>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Yes</w:t>
            </w:r>
          </w:p>
        </w:tc>
      </w:tr>
      <w:tr>
        <w:tc>
          <w:tcPr>
            <w:tcW w:type="dxa" w:w="3312"/>
            <w:shd w:fill="FFFFFF"/>
            <w:tcMar>
              <w:top w:w="100" w:type="dxa"/>
              <w:bottom w:w="100" w:type="dxa"/>
              <w:left w:w="140" w:type="dxa"/>
              <w:right w:w="140" w:type="dxa"/>
            </w:tcMar>
          </w:tcPr>
          <w:p>
            <w:pPr>
              <w:spacing w:before="40" w:after="40"/>
              <w:jc w:val="left"/>
            </w:pPr>
            <w:r>
              <w:rPr>
                <w:rFonts w:ascii="Segoe UI" w:hAnsi="Segoe UI"/>
                <w:color w:val="1E293B"/>
                <w:sz w:val="17"/>
              </w:rPr>
              <w:t>Bulk 9-Column CSV Question Ingestion</w:t>
            </w:r>
          </w:p>
        </w:tc>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No</w:t>
            </w:r>
          </w:p>
        </w:tc>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Yes (Append/Replace)</w:t>
            </w:r>
          </w:p>
        </w:tc>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Yes (Append/Replace)</w:t>
            </w:r>
          </w:p>
        </w:tc>
      </w:tr>
      <w:tr>
        <w:tc>
          <w:tcPr>
            <w:tcW w:type="dxa" w:w="3312"/>
            <w:shd w:fill="F8FAFC"/>
            <w:tcMar>
              <w:top w:w="100" w:type="dxa"/>
              <w:bottom w:w="100" w:type="dxa"/>
              <w:left w:w="140" w:type="dxa"/>
              <w:right w:w="140" w:type="dxa"/>
            </w:tcMar>
          </w:tcPr>
          <w:p>
            <w:pPr>
              <w:spacing w:before="40" w:after="40"/>
              <w:jc w:val="left"/>
            </w:pPr>
            <w:r>
              <w:rPr>
                <w:rFonts w:ascii="Segoe UI" w:hAnsi="Segoe UI"/>
                <w:color w:val="1E293B"/>
                <w:sz w:val="17"/>
              </w:rPr>
              <w:t>Purge / Cascade Delete Exam &amp; Attempts</w:t>
            </w:r>
          </w:p>
        </w:tc>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No</w:t>
            </w:r>
          </w:p>
        </w:tc>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No</w:t>
            </w:r>
          </w:p>
        </w:tc>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Yes (Admin Only)</w:t>
            </w:r>
          </w:p>
        </w:tc>
      </w:tr>
    </w:tbl>
    <w:p>
      <w:pPr>
        <w:spacing w:before="0" w:after="120"/>
      </w:pPr>
    </w:p>
    <w:p>
      <w:pPr>
        <w:keepNext/>
        <w:spacing w:before="320" w:after="80"/>
      </w:pPr>
      <w:r>
        <w:rPr>
          <w:rFonts w:ascii="Segoe UI" w:hAnsi="Segoe UI"/>
          <w:b/>
          <w:color w:val="0F172A"/>
          <w:sz w:val="28"/>
        </w:rPr>
        <w:t>2. Candidate &amp; Teacher Guide: Taking Assessments</w:t>
      </w:r>
    </w:p>
    <w:p>
      <w:r>
        <w:t>Examinations are engineered to offer a seamless, responsive, and stress-free user experience. Below are the operational steps required for candidates sitting for competency assessments.</w:t>
      </w:r>
    </w:p>
    <w:p>
      <w:pPr>
        <w:keepNext/>
        <w:spacing w:before="240" w:after="60"/>
      </w:pPr>
      <w:r>
        <w:rPr>
          <w:rFonts w:ascii="Segoe UI" w:hAnsi="Segoe UI"/>
          <w:b/>
          <w:color w:val="0D9488"/>
          <w:sz w:val="23"/>
        </w:rPr>
        <w:t>Step-by-Step Assessment Workflow</w:t>
      </w:r>
    </w:p>
    <w:p>
      <w:pPr>
        <w:pStyle w:val="ListBullet"/>
        <w:spacing w:before="40" w:after="60" w:line="276" w:lineRule="auto"/>
      </w:pPr>
      <w:r>
        <w:rPr>
          <w:rFonts w:ascii="Segoe UI" w:hAnsi="Segoe UI"/>
          <w:b/>
          <w:color w:val="1E293B"/>
          <w:sz w:val="19"/>
        </w:rPr>
        <w:t xml:space="preserve">Navigation: </w:t>
      </w:r>
      <w:r>
        <w:rPr>
          <w:rFonts w:ascii="Segoe UI" w:hAnsi="Segoe UI"/>
          <w:color w:val="334155"/>
          <w:sz w:val="19"/>
        </w:rPr>
        <w:t>Navigate to Exams &amp; MCQs on the top menu and select Available Competency Exams (/quizzes).</w:t>
      </w:r>
    </w:p>
    <w:p>
      <w:pPr>
        <w:pStyle w:val="ListBullet"/>
        <w:spacing w:before="40" w:after="60" w:line="276" w:lineRule="auto"/>
      </w:pPr>
      <w:r>
        <w:rPr>
          <w:rFonts w:ascii="Segoe UI" w:hAnsi="Segoe UI"/>
          <w:b/>
          <w:color w:val="1E293B"/>
          <w:sz w:val="19"/>
        </w:rPr>
        <w:t xml:space="preserve">Exam Selection: </w:t>
      </w:r>
      <w:r>
        <w:rPr>
          <w:rFonts w:ascii="Segoe UI" w:hAnsi="Segoe UI"/>
          <w:color w:val="334155"/>
          <w:sz w:val="19"/>
        </w:rPr>
        <w:t>Review available exams. Each card details the title, trade specialization, allocated time, passing mark (%), and total questions.</w:t>
      </w:r>
    </w:p>
    <w:p>
      <w:pPr>
        <w:pStyle w:val="ListBullet"/>
        <w:spacing w:before="40" w:after="60" w:line="276" w:lineRule="auto"/>
      </w:pPr>
      <w:r>
        <w:rPr>
          <w:rFonts w:ascii="Segoe UI" w:hAnsi="Segoe UI"/>
          <w:b/>
          <w:color w:val="1E293B"/>
          <w:sz w:val="19"/>
        </w:rPr>
        <w:t xml:space="preserve">Past Attempt Audits: </w:t>
      </w:r>
      <w:r>
        <w:rPr>
          <w:rFonts w:ascii="Segoe UI" w:hAnsi="Segoe UI"/>
          <w:color w:val="334155"/>
          <w:sz w:val="19"/>
        </w:rPr>
        <w:t>If you have previously taken the test, your past scores, pass/fail status, and timestamp are displayed directly on the card.</w:t>
      </w:r>
    </w:p>
    <w:p>
      <w:pPr>
        <w:pStyle w:val="ListBullet"/>
        <w:spacing w:before="40" w:after="60" w:line="276" w:lineRule="auto"/>
      </w:pPr>
      <w:r>
        <w:rPr>
          <w:rFonts w:ascii="Segoe UI" w:hAnsi="Segoe UI"/>
          <w:b/>
          <w:color w:val="1E293B"/>
          <w:sz w:val="19"/>
        </w:rPr>
        <w:t xml:space="preserve">Launching the Exam: </w:t>
      </w:r>
      <w:r>
        <w:rPr>
          <w:rFonts w:ascii="Segoe UI" w:hAnsi="Segoe UI"/>
          <w:color w:val="334155"/>
          <w:sz w:val="19"/>
        </w:rPr>
        <w:t>Click 'Start Assessment' (or 'Retake Assessment'). The exam environment opens with instructions and safety rules.</w:t>
      </w:r>
    </w:p>
    <w:p>
      <w:pPr>
        <w:keepNext/>
        <w:spacing w:before="240" w:after="60"/>
      </w:pPr>
      <w:r>
        <w:rPr>
          <w:rFonts w:ascii="Segoe UI" w:hAnsi="Segoe UI"/>
          <w:b/>
          <w:color w:val="0D9488"/>
          <w:sz w:val="23"/>
        </w:rPr>
        <w:t>Assessment Interface Features</w:t>
      </w:r>
    </w:p>
    <w:p>
      <w:pPr>
        <w:pStyle w:val="ListBullet"/>
        <w:spacing w:before="40" w:after="60" w:line="276" w:lineRule="auto"/>
      </w:pPr>
      <w:r>
        <w:rPr>
          <w:rFonts w:ascii="Segoe UI" w:hAnsi="Segoe UI"/>
          <w:b/>
          <w:color w:val="1E293B"/>
          <w:sz w:val="19"/>
        </w:rPr>
        <w:t xml:space="preserve">High-Contrast Timer: </w:t>
      </w:r>
      <w:r>
        <w:rPr>
          <w:rFonts w:ascii="Segoe UI" w:hAnsi="Segoe UI"/>
          <w:color w:val="334155"/>
          <w:sz w:val="19"/>
        </w:rPr>
        <w:t>Displays at the top right of the screen. Color shifts to amber when 5 minutes remain and pulses red during the final 60 seconds.</w:t>
      </w:r>
    </w:p>
    <w:p>
      <w:pPr>
        <w:pStyle w:val="ListBullet"/>
        <w:spacing w:before="40" w:after="60" w:line="276" w:lineRule="auto"/>
      </w:pPr>
      <w:r>
        <w:rPr>
          <w:rFonts w:ascii="Segoe UI" w:hAnsi="Segoe UI"/>
          <w:b/>
          <w:color w:val="1E293B"/>
          <w:sz w:val="19"/>
        </w:rPr>
        <w:t xml:space="preserve">Question Jump Drawer: </w:t>
      </w:r>
      <w:r>
        <w:rPr>
          <w:rFonts w:ascii="Segoe UI" w:hAnsi="Segoe UI"/>
          <w:color w:val="334155"/>
          <w:sz w:val="19"/>
        </w:rPr>
        <w:t>A right-hand interactive sidebar displays all question numbers. Completed questions turn solid green, while unanswered items remain amber.</w:t>
      </w:r>
    </w:p>
    <w:p>
      <w:pPr>
        <w:pStyle w:val="ListBullet"/>
        <w:spacing w:before="40" w:after="60" w:line="276" w:lineRule="auto"/>
      </w:pPr>
      <w:r>
        <w:rPr>
          <w:rFonts w:ascii="Segoe UI" w:hAnsi="Segoe UI"/>
          <w:b/>
          <w:color w:val="1E293B"/>
          <w:sz w:val="19"/>
        </w:rPr>
        <w:t xml:space="preserve">Auto-State Preservation: </w:t>
      </w:r>
      <w:r>
        <w:rPr>
          <w:rFonts w:ascii="Segoe UI" w:hAnsi="Segoe UI"/>
          <w:color w:val="334155"/>
          <w:sz w:val="19"/>
        </w:rPr>
        <w:t>Every chosen radio button is saved instantaneously in browser memory. Even if your browser tab is refreshed accidentally, your selections are retained.</w:t>
      </w:r>
    </w:p>
    <w:p>
      <w:pPr>
        <w:pStyle w:val="ListBullet"/>
        <w:spacing w:before="40" w:after="60" w:line="276" w:lineRule="auto"/>
      </w:pPr>
      <w:r>
        <w:rPr>
          <w:rFonts w:ascii="Segoe UI" w:hAnsi="Segoe UI"/>
          <w:b/>
          <w:color w:val="1E293B"/>
          <w:sz w:val="19"/>
        </w:rPr>
        <w:t xml:space="preserve">Submission Safeguard: </w:t>
      </w:r>
      <w:r>
        <w:rPr>
          <w:rFonts w:ascii="Segoe UI" w:hAnsi="Segoe UI"/>
          <w:color w:val="334155"/>
          <w:sz w:val="19"/>
        </w:rPr>
        <w:t>Clicking 'Submit Assessment' prompts a confirmation modal stating how many questions have been answered vs left blank.</w:t>
      </w:r>
    </w:p>
    <w:p>
      <w:pPr>
        <w:keepNext/>
        <w:spacing w:before="240" w:after="60"/>
      </w:pPr>
      <w:r>
        <w:rPr>
          <w:rFonts w:ascii="Segoe UI" w:hAnsi="Segoe UI"/>
          <w:b/>
          <w:color w:val="0D9488"/>
          <w:sz w:val="23"/>
        </w:rPr>
        <w:t>Official TVET Grading Scale &amp; Evaluation Slip</w:t>
      </w:r>
    </w:p>
    <w:p>
      <w:r>
        <w:t>Upon submission, scores are computed instantly against the official Benue State IDEAS-TVET competency scale:</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0F172A"/>
            <w:tcMar>
              <w:top w:w="120" w:type="dxa"/>
              <w:bottom w:w="120" w:type="dxa"/>
              <w:left w:w="140" w:type="dxa"/>
              <w:right w:w="140" w:type="dxa"/>
            </w:tcMar>
          </w:tcPr>
          <w:p>
            <w:pPr>
              <w:spacing w:before="40" w:after="40"/>
              <w:jc w:val="left"/>
            </w:pPr>
            <w:r>
              <w:rPr>
                <w:rFonts w:ascii="Segoe UI" w:hAnsi="Segoe UI"/>
                <w:b/>
                <w:color w:val="FFFFFF"/>
                <w:sz w:val="18"/>
              </w:rPr>
              <w:t>Grading Band</w:t>
            </w:r>
          </w:p>
        </w:tc>
        <w:tc>
          <w:tcPr>
            <w:tcW w:type="dxa" w:w="1872"/>
            <w:shd w:fill="0F172A"/>
            <w:tcMar>
              <w:top w:w="120" w:type="dxa"/>
              <w:bottom w:w="120" w:type="dxa"/>
              <w:left w:w="140" w:type="dxa"/>
              <w:right w:w="140" w:type="dxa"/>
            </w:tcMar>
          </w:tcPr>
          <w:p>
            <w:pPr>
              <w:spacing w:before="40" w:after="40"/>
              <w:jc w:val="left"/>
            </w:pPr>
            <w:r>
              <w:rPr>
                <w:rFonts w:ascii="Segoe UI" w:hAnsi="Segoe UI"/>
                <w:b/>
                <w:color w:val="FFFFFF"/>
                <w:sz w:val="18"/>
              </w:rPr>
              <w:t>Percentage Score</w:t>
            </w:r>
          </w:p>
        </w:tc>
        <w:tc>
          <w:tcPr>
            <w:tcW w:type="dxa" w:w="2592"/>
            <w:shd w:fill="0F172A"/>
            <w:tcMar>
              <w:top w:w="120" w:type="dxa"/>
              <w:bottom w:w="120" w:type="dxa"/>
              <w:left w:w="140" w:type="dxa"/>
              <w:right w:w="140" w:type="dxa"/>
            </w:tcMar>
          </w:tcPr>
          <w:p>
            <w:pPr>
              <w:spacing w:before="40" w:after="40"/>
              <w:jc w:val="left"/>
            </w:pPr>
            <w:r>
              <w:rPr>
                <w:rFonts w:ascii="Segoe UI" w:hAnsi="Segoe UI"/>
                <w:b/>
                <w:color w:val="FFFFFF"/>
                <w:sz w:val="18"/>
              </w:rPr>
              <w:t>Competency Determination</w:t>
            </w:r>
          </w:p>
        </w:tc>
        <w:tc>
          <w:tcPr>
            <w:tcW w:type="dxa" w:w="3168"/>
            <w:shd w:fill="0F172A"/>
            <w:tcMar>
              <w:top w:w="120" w:type="dxa"/>
              <w:bottom w:w="120" w:type="dxa"/>
              <w:left w:w="140" w:type="dxa"/>
              <w:right w:w="140" w:type="dxa"/>
            </w:tcMar>
          </w:tcPr>
          <w:p>
            <w:pPr>
              <w:spacing w:before="40" w:after="40"/>
              <w:jc w:val="left"/>
            </w:pPr>
            <w:r>
              <w:rPr>
                <w:rFonts w:ascii="Segoe UI" w:hAnsi="Segoe UI"/>
                <w:b/>
                <w:color w:val="FFFFFF"/>
                <w:sz w:val="18"/>
              </w:rPr>
              <w:t>Official Recognition</w:t>
            </w:r>
          </w:p>
        </w:tc>
      </w:tr>
      <w:tr>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Distinction</w:t>
            </w:r>
          </w:p>
        </w:tc>
        <w:tc>
          <w:tcPr>
            <w:tcW w:type="dxa" w:w="1872"/>
            <w:shd w:fill="FFFFFF"/>
            <w:tcMar>
              <w:top w:w="100" w:type="dxa"/>
              <w:bottom w:w="100" w:type="dxa"/>
              <w:left w:w="140" w:type="dxa"/>
              <w:right w:w="140" w:type="dxa"/>
            </w:tcMar>
          </w:tcPr>
          <w:p>
            <w:pPr>
              <w:spacing w:before="40" w:after="40"/>
              <w:jc w:val="left"/>
            </w:pPr>
            <w:r>
              <w:rPr>
                <w:rFonts w:ascii="Segoe UI" w:hAnsi="Segoe UI"/>
                <w:color w:val="1E293B"/>
                <w:sz w:val="17"/>
              </w:rPr>
              <w:t>80% – 100%</w:t>
            </w:r>
          </w:p>
        </w:tc>
        <w:tc>
          <w:tcPr>
            <w:tcW w:type="dxa" w:w="2592"/>
            <w:shd w:fill="FFFFFF"/>
            <w:tcMar>
              <w:top w:w="100" w:type="dxa"/>
              <w:bottom w:w="100" w:type="dxa"/>
              <w:left w:w="140" w:type="dxa"/>
              <w:right w:w="140" w:type="dxa"/>
            </w:tcMar>
          </w:tcPr>
          <w:p>
            <w:pPr>
              <w:spacing w:before="40" w:after="40"/>
              <w:jc w:val="left"/>
            </w:pPr>
            <w:r>
              <w:rPr>
                <w:rFonts w:ascii="Segoe UI" w:hAnsi="Segoe UI"/>
                <w:color w:val="1E293B"/>
                <w:sz w:val="17"/>
              </w:rPr>
              <w:t>Competent with Mastery</w:t>
            </w:r>
          </w:p>
        </w:tc>
        <w:tc>
          <w:tcPr>
            <w:tcW w:type="dxa" w:w="3168"/>
            <w:shd w:fill="FFFFFF"/>
            <w:tcMar>
              <w:top w:w="100" w:type="dxa"/>
              <w:bottom w:w="100" w:type="dxa"/>
              <w:left w:w="140" w:type="dxa"/>
              <w:right w:w="140" w:type="dxa"/>
            </w:tcMar>
          </w:tcPr>
          <w:p>
            <w:pPr>
              <w:spacing w:before="40" w:after="40"/>
              <w:jc w:val="left"/>
            </w:pPr>
            <w:r>
              <w:rPr>
                <w:rFonts w:ascii="Segoe UI" w:hAnsi="Segoe UI"/>
                <w:color w:val="1E293B"/>
                <w:sz w:val="17"/>
              </w:rPr>
              <w:t>Master Technical Instructor / Exemplary Portfolio</w:t>
            </w:r>
          </w:p>
        </w:tc>
      </w:tr>
      <w:tr>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Merit</w:t>
            </w:r>
          </w:p>
        </w:tc>
        <w:tc>
          <w:tcPr>
            <w:tcW w:type="dxa" w:w="1872"/>
            <w:shd w:fill="F8FAFC"/>
            <w:tcMar>
              <w:top w:w="100" w:type="dxa"/>
              <w:bottom w:w="100" w:type="dxa"/>
              <w:left w:w="140" w:type="dxa"/>
              <w:right w:w="140" w:type="dxa"/>
            </w:tcMar>
          </w:tcPr>
          <w:p>
            <w:pPr>
              <w:spacing w:before="40" w:after="40"/>
              <w:jc w:val="left"/>
            </w:pPr>
            <w:r>
              <w:rPr>
                <w:rFonts w:ascii="Segoe UI" w:hAnsi="Segoe UI"/>
                <w:color w:val="1E293B"/>
                <w:sz w:val="17"/>
              </w:rPr>
              <w:t>70% – 79.9%</w:t>
            </w:r>
          </w:p>
        </w:tc>
        <w:tc>
          <w:tcPr>
            <w:tcW w:type="dxa" w:w="2592"/>
            <w:shd w:fill="F8FAFC"/>
            <w:tcMar>
              <w:top w:w="100" w:type="dxa"/>
              <w:bottom w:w="100" w:type="dxa"/>
              <w:left w:w="140" w:type="dxa"/>
              <w:right w:w="140" w:type="dxa"/>
            </w:tcMar>
          </w:tcPr>
          <w:p>
            <w:pPr>
              <w:spacing w:before="40" w:after="40"/>
              <w:jc w:val="left"/>
            </w:pPr>
            <w:r>
              <w:rPr>
                <w:rFonts w:ascii="Segoe UI" w:hAnsi="Segoe UI"/>
                <w:color w:val="1E293B"/>
                <w:sz w:val="17"/>
              </w:rPr>
              <w:t>Competent with Commendation</w:t>
            </w:r>
          </w:p>
        </w:tc>
        <w:tc>
          <w:tcPr>
            <w:tcW w:type="dxa" w:w="3168"/>
            <w:shd w:fill="F8FAFC"/>
            <w:tcMar>
              <w:top w:w="100" w:type="dxa"/>
              <w:bottom w:w="100" w:type="dxa"/>
              <w:left w:w="140" w:type="dxa"/>
              <w:right w:w="140" w:type="dxa"/>
            </w:tcMar>
          </w:tcPr>
          <w:p>
            <w:pPr>
              <w:spacing w:before="40" w:after="40"/>
              <w:jc w:val="left"/>
            </w:pPr>
            <w:r>
              <w:rPr>
                <w:rFonts w:ascii="Segoe UI" w:hAnsi="Segoe UI"/>
                <w:color w:val="1E293B"/>
                <w:sz w:val="17"/>
              </w:rPr>
              <w:t>Advanced Instructional Delivery Capability</w:t>
            </w:r>
          </w:p>
        </w:tc>
      </w:tr>
      <w:tr>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Credit</w:t>
            </w:r>
          </w:p>
        </w:tc>
        <w:tc>
          <w:tcPr>
            <w:tcW w:type="dxa" w:w="1872"/>
            <w:shd w:fill="FFFFFF"/>
            <w:tcMar>
              <w:top w:w="100" w:type="dxa"/>
              <w:bottom w:w="100" w:type="dxa"/>
              <w:left w:w="140" w:type="dxa"/>
              <w:right w:w="140" w:type="dxa"/>
            </w:tcMar>
          </w:tcPr>
          <w:p>
            <w:pPr>
              <w:spacing w:before="40" w:after="40"/>
              <w:jc w:val="left"/>
            </w:pPr>
            <w:r>
              <w:rPr>
                <w:rFonts w:ascii="Segoe UI" w:hAnsi="Segoe UI"/>
                <w:color w:val="1E293B"/>
                <w:sz w:val="17"/>
              </w:rPr>
              <w:t>60% – 69.9%</w:t>
            </w:r>
          </w:p>
        </w:tc>
        <w:tc>
          <w:tcPr>
            <w:tcW w:type="dxa" w:w="2592"/>
            <w:shd w:fill="FFFFFF"/>
            <w:tcMar>
              <w:top w:w="100" w:type="dxa"/>
              <w:bottom w:w="100" w:type="dxa"/>
              <w:left w:w="140" w:type="dxa"/>
              <w:right w:w="140" w:type="dxa"/>
            </w:tcMar>
          </w:tcPr>
          <w:p>
            <w:pPr>
              <w:spacing w:before="40" w:after="40"/>
              <w:jc w:val="left"/>
            </w:pPr>
            <w:r>
              <w:rPr>
                <w:rFonts w:ascii="Segoe UI" w:hAnsi="Segoe UI"/>
                <w:color w:val="1E293B"/>
                <w:sz w:val="17"/>
              </w:rPr>
              <w:t>Competent</w:t>
            </w:r>
          </w:p>
        </w:tc>
        <w:tc>
          <w:tcPr>
            <w:tcW w:type="dxa" w:w="3168"/>
            <w:shd w:fill="FFFFFF"/>
            <w:tcMar>
              <w:top w:w="100" w:type="dxa"/>
              <w:bottom w:w="100" w:type="dxa"/>
              <w:left w:w="140" w:type="dxa"/>
              <w:right w:w="140" w:type="dxa"/>
            </w:tcMar>
          </w:tcPr>
          <w:p>
            <w:pPr>
              <w:spacing w:before="40" w:after="40"/>
              <w:jc w:val="left"/>
            </w:pPr>
            <w:r>
              <w:rPr>
                <w:rFonts w:ascii="Segoe UI" w:hAnsi="Segoe UI"/>
                <w:color w:val="1E293B"/>
                <w:sz w:val="17"/>
              </w:rPr>
              <w:t>Meets National TVET Pedagogy Standards</w:t>
            </w:r>
          </w:p>
        </w:tc>
      </w:tr>
      <w:tr>
        <w:tc>
          <w:tcPr>
            <w:tcW w:type="dxa" w:w="2160"/>
            <w:shd w:fill="F8FAFC"/>
            <w:tcMar>
              <w:top w:w="100" w:type="dxa"/>
              <w:bottom w:w="100" w:type="dxa"/>
              <w:left w:w="140" w:type="dxa"/>
              <w:right w:w="140" w:type="dxa"/>
            </w:tcMar>
          </w:tcPr>
          <w:p>
            <w:pPr>
              <w:spacing w:before="40" w:after="40"/>
              <w:jc w:val="left"/>
            </w:pPr>
            <w:r>
              <w:rPr>
                <w:rFonts w:ascii="Segoe UI" w:hAnsi="Segoe UI"/>
                <w:color w:val="1E293B"/>
                <w:sz w:val="17"/>
              </w:rPr>
              <w:t>Pass</w:t>
            </w:r>
          </w:p>
        </w:tc>
        <w:tc>
          <w:tcPr>
            <w:tcW w:type="dxa" w:w="1872"/>
            <w:shd w:fill="F8FAFC"/>
            <w:tcMar>
              <w:top w:w="100" w:type="dxa"/>
              <w:bottom w:w="100" w:type="dxa"/>
              <w:left w:w="140" w:type="dxa"/>
              <w:right w:w="140" w:type="dxa"/>
            </w:tcMar>
          </w:tcPr>
          <w:p>
            <w:pPr>
              <w:spacing w:before="40" w:after="40"/>
              <w:jc w:val="left"/>
            </w:pPr>
            <w:r>
              <w:rPr>
                <w:rFonts w:ascii="Segoe UI" w:hAnsi="Segoe UI"/>
                <w:color w:val="1E293B"/>
                <w:sz w:val="17"/>
              </w:rPr>
              <w:t>50% – 59.9%</w:t>
            </w:r>
          </w:p>
        </w:tc>
        <w:tc>
          <w:tcPr>
            <w:tcW w:type="dxa" w:w="2592"/>
            <w:shd w:fill="F8FAFC"/>
            <w:tcMar>
              <w:top w:w="100" w:type="dxa"/>
              <w:bottom w:w="100" w:type="dxa"/>
              <w:left w:w="140" w:type="dxa"/>
              <w:right w:w="140" w:type="dxa"/>
            </w:tcMar>
          </w:tcPr>
          <w:p>
            <w:pPr>
              <w:spacing w:before="40" w:after="40"/>
              <w:jc w:val="left"/>
            </w:pPr>
            <w:r>
              <w:rPr>
                <w:rFonts w:ascii="Segoe UI" w:hAnsi="Segoe UI"/>
                <w:color w:val="1E293B"/>
                <w:sz w:val="17"/>
              </w:rPr>
              <w:t>Bare Competent</w:t>
            </w:r>
          </w:p>
        </w:tc>
        <w:tc>
          <w:tcPr>
            <w:tcW w:type="dxa" w:w="3168"/>
            <w:shd w:fill="F8FAFC"/>
            <w:tcMar>
              <w:top w:w="100" w:type="dxa"/>
              <w:bottom w:w="100" w:type="dxa"/>
              <w:left w:w="140" w:type="dxa"/>
              <w:right w:w="140" w:type="dxa"/>
            </w:tcMar>
          </w:tcPr>
          <w:p>
            <w:pPr>
              <w:spacing w:before="40" w:after="40"/>
              <w:jc w:val="left"/>
            </w:pPr>
            <w:r>
              <w:rPr>
                <w:rFonts w:ascii="Segoe UI" w:hAnsi="Segoe UI"/>
                <w:color w:val="1E293B"/>
                <w:sz w:val="17"/>
              </w:rPr>
              <w:t>Satisfactory Basic Classroom Delivery</w:t>
            </w:r>
          </w:p>
        </w:tc>
      </w:tr>
      <w:tr>
        <w:tc>
          <w:tcPr>
            <w:tcW w:type="dxa" w:w="2160"/>
            <w:shd w:fill="FFFFFF"/>
            <w:tcMar>
              <w:top w:w="100" w:type="dxa"/>
              <w:bottom w:w="100" w:type="dxa"/>
              <w:left w:w="140" w:type="dxa"/>
              <w:right w:w="140" w:type="dxa"/>
            </w:tcMar>
          </w:tcPr>
          <w:p>
            <w:pPr>
              <w:spacing w:before="40" w:after="40"/>
              <w:jc w:val="left"/>
            </w:pPr>
            <w:r>
              <w:rPr>
                <w:rFonts w:ascii="Segoe UI" w:hAnsi="Segoe UI"/>
                <w:color w:val="1E293B"/>
                <w:sz w:val="17"/>
              </w:rPr>
              <w:t>Needs Improvement</w:t>
            </w:r>
          </w:p>
        </w:tc>
        <w:tc>
          <w:tcPr>
            <w:tcW w:type="dxa" w:w="1872"/>
            <w:shd w:fill="FFFFFF"/>
            <w:tcMar>
              <w:top w:w="100" w:type="dxa"/>
              <w:bottom w:w="100" w:type="dxa"/>
              <w:left w:w="140" w:type="dxa"/>
              <w:right w:w="140" w:type="dxa"/>
            </w:tcMar>
          </w:tcPr>
          <w:p>
            <w:pPr>
              <w:spacing w:before="40" w:after="40"/>
              <w:jc w:val="left"/>
            </w:pPr>
            <w:r>
              <w:rPr>
                <w:rFonts w:ascii="Segoe UI" w:hAnsi="Segoe UI"/>
                <w:color w:val="1E293B"/>
                <w:sz w:val="17"/>
              </w:rPr>
              <w:t>Below 50%</w:t>
            </w:r>
          </w:p>
        </w:tc>
        <w:tc>
          <w:tcPr>
            <w:tcW w:type="dxa" w:w="2592"/>
            <w:shd w:fill="FFFFFF"/>
            <w:tcMar>
              <w:top w:w="100" w:type="dxa"/>
              <w:bottom w:w="100" w:type="dxa"/>
              <w:left w:w="140" w:type="dxa"/>
              <w:right w:w="140" w:type="dxa"/>
            </w:tcMar>
          </w:tcPr>
          <w:p>
            <w:pPr>
              <w:spacing w:before="40" w:after="40"/>
              <w:jc w:val="left"/>
            </w:pPr>
            <w:r>
              <w:rPr>
                <w:rFonts w:ascii="Segoe UI" w:hAnsi="Segoe UI"/>
                <w:color w:val="1E293B"/>
                <w:sz w:val="17"/>
              </w:rPr>
              <w:t>Not Yet Competent</w:t>
            </w:r>
          </w:p>
        </w:tc>
        <w:tc>
          <w:tcPr>
            <w:tcW w:type="dxa" w:w="3168"/>
            <w:shd w:fill="FFFFFF"/>
            <w:tcMar>
              <w:top w:w="100" w:type="dxa"/>
              <w:bottom w:w="100" w:type="dxa"/>
              <w:left w:w="140" w:type="dxa"/>
              <w:right w:w="140" w:type="dxa"/>
            </w:tcMar>
          </w:tcPr>
          <w:p>
            <w:pPr>
              <w:spacing w:before="40" w:after="40"/>
              <w:jc w:val="left"/>
            </w:pPr>
            <w:r>
              <w:rPr>
                <w:rFonts w:ascii="Segoe UI" w:hAnsi="Segoe UI"/>
                <w:color w:val="1E293B"/>
                <w:sz w:val="17"/>
              </w:rPr>
              <w:t>Mandatory Workshop Remediation Required</w:t>
            </w:r>
          </w:p>
        </w:tc>
      </w:tr>
    </w:tbl>
    <w:p>
      <w:pPr>
        <w:spacing w:before="0" w:after="120"/>
      </w:pPr>
    </w:p>
    <w:tbl>
      <w:tblPr>
        <w:tblW w:type="auto" w:w="0"/>
        <w:jc w:val="center"/>
        <w:tblLayout w:type="fixed"/>
        <w:tblLook w:firstColumn="1" w:firstRow="1" w:lastColumn="0" w:lastRow="0" w:noHBand="0" w:noVBand="1" w:val="04A0"/>
      </w:tblPr>
      <w:tblGrid>
        <w:gridCol w:w="9792"/>
      </w:tblGrid>
      <w:tr>
        <w:tc>
          <w:tcPr>
            <w:tcW w:type="dxa" w:w="10080"/>
            <w:shd w:fill="EFF6FF"/>
            <w:tcMar>
              <w:top w:w="140" w:type="dxa"/>
              <w:bottom w:w="140" w:type="dxa"/>
              <w:left w:w="200" w:type="dxa"/>
              <w:right w:w="200" w:type="dxa"/>
            </w:tcMar>
            <w:tcBorders>
              <w:top w:val="none"/>
              <w:left w:val="single" w:sz="24" w:space="0" w:color="2563EB"/>
              <w:bottom w:val="none"/>
              <w:right w:val="none"/>
            </w:tcBorders>
          </w:tcPr>
          <w:p>
            <w:pPr>
              <w:spacing w:before="40" w:after="40" w:line="276" w:lineRule="auto"/>
            </w:pPr>
            <w:r>
              <w:rPr>
                <w:rFonts w:ascii="Segoe UI" w:hAnsi="Segoe UI"/>
                <w:b/>
                <w:color w:val="2563EB"/>
                <w:sz w:val="19"/>
              </w:rPr>
              <w:t xml:space="preserve">[PORTFOLIO PRINTING] </w:t>
            </w:r>
            <w:r>
              <w:rPr>
                <w:rFonts w:ascii="Segoe UI" w:hAnsi="Segoe UI"/>
                <w:color w:val="334155"/>
                <w:sz w:val="19"/>
              </w:rPr>
              <w:t>Click the 'Print Official Evaluation Slip' button on your results screen to generate a signed, print-formatted evaluation sheet containing your verified identity, institution, itemized score, and supervisor signature line suitable for your physical TVET Teaching Portfolio.</w:t>
            </w:r>
          </w:p>
        </w:tc>
      </w:tr>
    </w:tbl>
    <w:p>
      <w:pPr>
        <w:spacing w:before="0" w:after="120"/>
      </w:pPr>
    </w:p>
    <w:p>
      <w:pPr>
        <w:keepNext/>
        <w:spacing w:before="320" w:after="80"/>
      </w:pPr>
      <w:r>
        <w:rPr>
          <w:rFonts w:ascii="Segoe UI" w:hAnsi="Segoe UI"/>
          <w:b/>
          <w:color w:val="0F172A"/>
          <w:sz w:val="28"/>
        </w:rPr>
        <w:t>3. Facilitator &amp; Evaluator Guide: Analytics &amp; Scorecards</w:t>
      </w:r>
    </w:p>
    <w:p>
      <w:r>
        <w:t>Institutional facilitators and evaluators hold real-time supervisory access to the Results Analytics Dashboard (/admin/quiz-analytics or /quizzes/analytics).</w:t>
      </w:r>
    </w:p>
    <w:p>
      <w:pPr>
        <w:keepNext/>
        <w:spacing w:before="240" w:after="60"/>
      </w:pPr>
      <w:r>
        <w:rPr>
          <w:rFonts w:ascii="Segoe UI" w:hAnsi="Segoe UI"/>
          <w:b/>
          <w:color w:val="0D9488"/>
          <w:sz w:val="23"/>
        </w:rPr>
        <w:t>Institutional Evaluation Metrics</w:t>
      </w:r>
    </w:p>
    <w:p>
      <w:pPr>
        <w:pStyle w:val="ListBullet"/>
        <w:spacing w:before="40" w:after="60" w:line="276" w:lineRule="auto"/>
      </w:pPr>
      <w:r>
        <w:rPr>
          <w:rFonts w:ascii="Segoe UI" w:hAnsi="Segoe UI"/>
          <w:b/>
          <w:color w:val="1E293B"/>
          <w:sz w:val="19"/>
        </w:rPr>
        <w:t xml:space="preserve">Total Submissions: </w:t>
      </w:r>
      <w:r>
        <w:rPr>
          <w:rFonts w:ascii="Segoe UI" w:hAnsi="Segoe UI"/>
          <w:color w:val="334155"/>
          <w:sz w:val="19"/>
        </w:rPr>
        <w:t>Monitors overall submission volume across all participating colleges.</w:t>
      </w:r>
    </w:p>
    <w:p>
      <w:pPr>
        <w:pStyle w:val="ListBullet"/>
        <w:spacing w:before="40" w:after="60" w:line="276" w:lineRule="auto"/>
      </w:pPr>
      <w:r>
        <w:rPr>
          <w:rFonts w:ascii="Segoe UI" w:hAnsi="Segoe UI"/>
          <w:b/>
          <w:color w:val="1E293B"/>
          <w:sz w:val="19"/>
        </w:rPr>
        <w:t xml:space="preserve">Unique Teachers Evaluated: </w:t>
      </w:r>
      <w:r>
        <w:rPr>
          <w:rFonts w:ascii="Segoe UI" w:hAnsi="Segoe UI"/>
          <w:color w:val="334155"/>
          <w:sz w:val="19"/>
        </w:rPr>
        <w:t>De-duplicates attempts to indicate exactly how many distinct instructors have participated.</w:t>
      </w:r>
    </w:p>
    <w:p>
      <w:pPr>
        <w:pStyle w:val="ListBullet"/>
        <w:spacing w:before="40" w:after="60" w:line="276" w:lineRule="auto"/>
      </w:pPr>
      <w:r>
        <w:rPr>
          <w:rFonts w:ascii="Segoe UI" w:hAnsi="Segoe UI"/>
          <w:b/>
          <w:color w:val="1E293B"/>
          <w:sz w:val="19"/>
        </w:rPr>
        <w:t xml:space="preserve">Institutional Passing Rate: </w:t>
      </w:r>
      <w:r>
        <w:rPr>
          <w:rFonts w:ascii="Segoe UI" w:hAnsi="Segoe UI"/>
          <w:color w:val="334155"/>
          <w:sz w:val="19"/>
        </w:rPr>
        <w:t>Provides macro-level percentage tracking of competency achievement.</w:t>
      </w:r>
    </w:p>
    <w:p>
      <w:pPr>
        <w:pStyle w:val="ListBullet"/>
        <w:spacing w:before="40" w:after="60" w:line="276" w:lineRule="auto"/>
      </w:pPr>
      <w:r>
        <w:rPr>
          <w:rFonts w:ascii="Segoe UI" w:hAnsi="Segoe UI"/>
          <w:b/>
          <w:color w:val="1E293B"/>
          <w:sz w:val="19"/>
        </w:rPr>
        <w:t xml:space="preserve">Score Range Benchmarks: </w:t>
      </w:r>
      <w:r>
        <w:rPr>
          <w:rFonts w:ascii="Segoe UI" w:hAnsi="Segoe UI"/>
          <w:color w:val="334155"/>
          <w:sz w:val="19"/>
        </w:rPr>
        <w:t>Tracks highest, lowest, and mean cohort percentage scores.</w:t>
      </w:r>
    </w:p>
    <w:p>
      <w:pPr>
        <w:keepNext/>
        <w:spacing w:before="240" w:after="60"/>
      </w:pPr>
      <w:r>
        <w:rPr>
          <w:rFonts w:ascii="Segoe UI" w:hAnsi="Segoe UI"/>
          <w:b/>
          <w:color w:val="0D9488"/>
          <w:sz w:val="23"/>
        </w:rPr>
        <w:t>Multi-Dimensional Filtering &amp; Cohort Analysis</w:t>
      </w:r>
    </w:p>
    <w:p>
      <w:r>
        <w:t>Evaluators can pinpoint training needs using the multi-criteria filter toolbar: filter by State (e.g. Benue, Plateau), specific Technical College / Institution, Competency Status (Passed vs Needs Improvement), or search directly by teacher name or trade area.</w:t>
      </w:r>
    </w:p>
    <w:p>
      <w:pPr>
        <w:keepNext/>
        <w:spacing w:before="240" w:after="60"/>
      </w:pPr>
      <w:r>
        <w:rPr>
          <w:rFonts w:ascii="Segoe UI" w:hAnsi="Segoe UI"/>
          <w:b/>
          <w:color w:val="0D9488"/>
          <w:sz w:val="23"/>
        </w:rPr>
        <w:t>Question Gap &amp; Misconception Analysis</w:t>
      </w:r>
    </w:p>
    <w:tbl>
      <w:tblPr>
        <w:tblW w:type="auto" w:w="0"/>
        <w:jc w:val="center"/>
        <w:tblLayout w:type="fixed"/>
        <w:tblLook w:firstColumn="1" w:firstRow="1" w:lastColumn="0" w:lastRow="0" w:noHBand="0" w:noVBand="1" w:val="04A0"/>
      </w:tblPr>
      <w:tblGrid>
        <w:gridCol w:w="9792"/>
      </w:tblGrid>
      <w:tr>
        <w:tc>
          <w:tcPr>
            <w:tcW w:type="dxa" w:w="10080"/>
            <w:shd w:fill="FFFBEB"/>
            <w:tcMar>
              <w:top w:w="140" w:type="dxa"/>
              <w:bottom w:w="140" w:type="dxa"/>
              <w:left w:w="200" w:type="dxa"/>
              <w:right w:w="200" w:type="dxa"/>
            </w:tcMar>
            <w:tcBorders>
              <w:top w:val="none"/>
              <w:left w:val="single" w:sz="24" w:space="0" w:color="D97706"/>
              <w:bottom w:val="none"/>
              <w:right w:val="none"/>
            </w:tcBorders>
          </w:tcPr>
          <w:p>
            <w:pPr>
              <w:spacing w:before="40" w:after="40" w:line="276" w:lineRule="auto"/>
            </w:pPr>
            <w:r>
              <w:rPr>
                <w:rFonts w:ascii="Segoe UI" w:hAnsi="Segoe UI"/>
                <w:b/>
                <w:color w:val="B45309"/>
                <w:sz w:val="19"/>
              </w:rPr>
              <w:t xml:space="preserve">[INSTRUCTIONAL GAP INTERVENTION] </w:t>
            </w:r>
            <w:r>
              <w:rPr>
                <w:rFonts w:ascii="Segoe UI" w:hAnsi="Segoe UI"/>
                <w:color w:val="334155"/>
                <w:sz w:val="19"/>
              </w:rPr>
              <w:t>The analytics engine automatically computes which 5 assessment items exhibited the highest error rates across the cohort. Facilitators must inspect this section before practical training sessions to identify pedagogical gaps (e.g., Bloom's taxonomy misapplication, workshop safety standards, or lesson timing calculations).</w:t>
            </w:r>
          </w:p>
        </w:tc>
      </w:tr>
    </w:tbl>
    <w:p>
      <w:pPr>
        <w:spacing w:before="0" w:after="120"/>
      </w:pPr>
    </w:p>
    <w:p>
      <w:pPr>
        <w:keepNext/>
        <w:spacing w:before="240" w:after="60"/>
      </w:pPr>
      <w:r>
        <w:rPr>
          <w:rFonts w:ascii="Segoe UI" w:hAnsi="Segoe UI"/>
          <w:b/>
          <w:color w:val="0D9488"/>
          <w:sz w:val="23"/>
        </w:rPr>
        <w:t>Roster Broadsheet &amp; Batch Evaluation Slips</w:t>
      </w:r>
    </w:p>
    <w:p>
      <w:pPr>
        <w:pStyle w:val="ListBullet"/>
        <w:spacing w:before="40" w:after="60" w:line="276" w:lineRule="auto"/>
      </w:pPr>
      <w:r>
        <w:rPr>
          <w:rFonts w:ascii="Segoe UI" w:hAnsi="Segoe UI"/>
          <w:b/>
          <w:color w:val="1E293B"/>
          <w:sz w:val="19"/>
        </w:rPr>
        <w:t xml:space="preserve">Collective Broadsheet Roster: </w:t>
      </w:r>
      <w:r>
        <w:rPr>
          <w:rFonts w:ascii="Segoe UI" w:hAnsi="Segoe UI"/>
          <w:color w:val="334155"/>
          <w:sz w:val="19"/>
        </w:rPr>
        <w:t>Generates a printable master institutional broadsheet with candidate details, scores, and institutional verification blocks.</w:t>
      </w:r>
    </w:p>
    <w:p>
      <w:pPr>
        <w:pStyle w:val="ListBullet"/>
        <w:spacing w:before="40" w:after="60" w:line="276" w:lineRule="auto"/>
      </w:pPr>
      <w:r>
        <w:rPr>
          <w:rFonts w:ascii="Segoe UI" w:hAnsi="Segoe UI"/>
          <w:b/>
          <w:color w:val="1E293B"/>
          <w:sz w:val="19"/>
        </w:rPr>
        <w:t xml:space="preserve">Batch Individual Printing: </w:t>
      </w:r>
      <w:r>
        <w:rPr>
          <w:rFonts w:ascii="Segoe UI" w:hAnsi="Segoe UI"/>
          <w:color w:val="334155"/>
          <w:sz w:val="19"/>
        </w:rPr>
        <w:t>Select multiple teachers using the checkboxes, then click 'Print Selected Slips' to produce consecutive, page-broken official slips.</w:t>
      </w:r>
    </w:p>
    <w:p>
      <w:pPr>
        <w:pStyle w:val="ListBullet"/>
        <w:spacing w:before="40" w:after="60" w:line="276" w:lineRule="auto"/>
      </w:pPr>
      <w:r>
        <w:rPr>
          <w:rFonts w:ascii="Segoe UI" w:hAnsi="Segoe UI"/>
          <w:b/>
          <w:color w:val="1E293B"/>
          <w:sz w:val="19"/>
        </w:rPr>
        <w:t xml:space="preserve">Streaming CSV Export: </w:t>
      </w:r>
      <w:r>
        <w:rPr>
          <w:rFonts w:ascii="Segoe UI" w:hAnsi="Segoe UI"/>
          <w:color w:val="334155"/>
          <w:sz w:val="19"/>
        </w:rPr>
        <w:t>Click 'Export CSV' to stream an Excel-compatible, BOM-encoded UTF-8 spreadsheet with complete metadata.</w:t>
      </w:r>
    </w:p>
    <w:p>
      <w:pPr>
        <w:keepNext/>
        <w:spacing w:before="320" w:after="80"/>
      </w:pPr>
      <w:r>
        <w:rPr>
          <w:rFonts w:ascii="Segoe UI" w:hAnsi="Segoe UI"/>
          <w:b/>
          <w:color w:val="0F172A"/>
          <w:sz w:val="28"/>
        </w:rPr>
        <w:t>4. Platform Administrator Guide: Exam Creation &amp; Bulk CSV Ingestion</w:t>
      </w:r>
    </w:p>
    <w:p>
      <w:r>
        <w:t>Platform Administrators possess full administrative rights to author new examinations, modify passing thresholds, manage individual questions, and perform bulk CSV question uploads.</w:t>
      </w:r>
    </w:p>
    <w:p>
      <w:pPr>
        <w:keepNext/>
        <w:spacing w:before="240" w:after="60"/>
      </w:pPr>
      <w:r>
        <w:rPr>
          <w:rFonts w:ascii="Segoe UI" w:hAnsi="Segoe UI"/>
          <w:b/>
          <w:color w:val="0D9488"/>
          <w:sz w:val="23"/>
        </w:rPr>
        <w:t>Creating New Competency Examinations</w:t>
      </w:r>
    </w:p>
    <w:p>
      <w:pPr>
        <w:pStyle w:val="ListBullet"/>
        <w:spacing w:before="40" w:after="60" w:line="276" w:lineRule="auto"/>
      </w:pPr>
      <w:r>
        <w:rPr>
          <w:rFonts w:ascii="Segoe UI" w:hAnsi="Segoe UI"/>
          <w:b/>
          <w:color w:val="1E293B"/>
          <w:sz w:val="19"/>
        </w:rPr>
        <w:t xml:space="preserve">Initiating Creation: </w:t>
      </w:r>
      <w:r>
        <w:rPr>
          <w:rFonts w:ascii="Segoe UI" w:hAnsi="Segoe UI"/>
          <w:color w:val="334155"/>
          <w:sz w:val="19"/>
        </w:rPr>
        <w:t>From the Available Exams screen (/quizzes), click the green '+ Create New Exam' button.</w:t>
      </w:r>
    </w:p>
    <w:p>
      <w:pPr>
        <w:pStyle w:val="ListBullet"/>
        <w:spacing w:before="40" w:after="60" w:line="276" w:lineRule="auto"/>
      </w:pPr>
      <w:r>
        <w:rPr>
          <w:rFonts w:ascii="Segoe UI" w:hAnsi="Segoe UI"/>
          <w:b/>
          <w:color w:val="1E293B"/>
          <w:sz w:val="19"/>
        </w:rPr>
        <w:t xml:space="preserve">Exam Title: </w:t>
      </w:r>
      <w:r>
        <w:rPr>
          <w:rFonts w:ascii="Segoe UI" w:hAnsi="Segoe UI"/>
          <w:color w:val="334155"/>
          <w:sz w:val="19"/>
        </w:rPr>
        <w:t>Provide a standardized descriptive title (e.g., 'Solar PV Installation Competency Examination').</w:t>
      </w:r>
    </w:p>
    <w:p>
      <w:pPr>
        <w:pStyle w:val="ListBullet"/>
        <w:spacing w:before="40" w:after="60" w:line="276" w:lineRule="auto"/>
      </w:pPr>
      <w:r>
        <w:rPr>
          <w:rFonts w:ascii="Segoe UI" w:hAnsi="Segoe UI"/>
          <w:b/>
          <w:color w:val="1E293B"/>
          <w:sz w:val="19"/>
        </w:rPr>
        <w:t xml:space="preserve">Lecture / Trade Category: </w:t>
      </w:r>
      <w:r>
        <w:rPr>
          <w:rFonts w:ascii="Segoe UI" w:hAnsi="Segoe UI"/>
          <w:color w:val="334155"/>
          <w:sz w:val="19"/>
        </w:rPr>
        <w:t>Select from 20+ built-in trade disciplines or click '+ Custom Category' to define a new specialization.</w:t>
      </w:r>
    </w:p>
    <w:p>
      <w:pPr>
        <w:pStyle w:val="ListBullet"/>
        <w:spacing w:before="40" w:after="60" w:line="276" w:lineRule="auto"/>
      </w:pPr>
      <w:r>
        <w:rPr>
          <w:rFonts w:ascii="Segoe UI" w:hAnsi="Segoe UI"/>
          <w:b/>
          <w:color w:val="1E293B"/>
          <w:sz w:val="19"/>
        </w:rPr>
        <w:t xml:space="preserve">Duration &amp; Pass Mark: </w:t>
      </w:r>
      <w:r>
        <w:rPr>
          <w:rFonts w:ascii="Segoe UI" w:hAnsi="Segoe UI"/>
          <w:color w:val="334155"/>
          <w:sz w:val="19"/>
        </w:rPr>
        <w:t>Configure time limits in minutes (e.g., 30, 45, 60) and minimum pass percentage (e.g., 50%, 65%, 75%).</w:t>
      </w:r>
    </w:p>
    <w:p>
      <w:pPr>
        <w:pStyle w:val="ListBullet"/>
        <w:spacing w:before="40" w:after="60" w:line="276" w:lineRule="auto"/>
      </w:pPr>
      <w:r>
        <w:rPr>
          <w:rFonts w:ascii="Segoe UI" w:hAnsi="Segoe UI"/>
          <w:b/>
          <w:color w:val="1E293B"/>
          <w:sz w:val="19"/>
        </w:rPr>
        <w:t xml:space="preserve">Active / Draft State: </w:t>
      </w:r>
      <w:r>
        <w:rPr>
          <w:rFonts w:ascii="Segoe UI" w:hAnsi="Segoe UI"/>
          <w:color w:val="334155"/>
          <w:sz w:val="19"/>
        </w:rPr>
        <w:t>Toggle publish status. Draft exams remain hidden from ordinary candidates until published.</w:t>
      </w:r>
    </w:p>
    <w:p>
      <w:pPr>
        <w:keepNext/>
        <w:spacing w:before="240" w:after="60"/>
      </w:pPr>
      <w:r>
        <w:rPr>
          <w:rFonts w:ascii="Segoe UI" w:hAnsi="Segoe UI"/>
          <w:b/>
          <w:color w:val="0D9488"/>
          <w:sz w:val="23"/>
        </w:rPr>
        <w:t>Question Bank &amp; Bulk CSV Upload Specification</w:t>
      </w:r>
    </w:p>
    <w:p>
      <w:r>
        <w:t>To rapidly ingest 50, 100, or more questions into any exam, use the Bulk CSV Upload tool. The uploaded CSV file must adhere strictly to the following 9-column header layout: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872"/>
            <w:shd w:fill="0F172A"/>
            <w:tcMar>
              <w:top w:w="120" w:type="dxa"/>
              <w:bottom w:w="120" w:type="dxa"/>
              <w:left w:w="140" w:type="dxa"/>
              <w:right w:w="140" w:type="dxa"/>
            </w:tcMar>
          </w:tcPr>
          <w:p>
            <w:pPr>
              <w:spacing w:before="40" w:after="40"/>
              <w:jc w:val="left"/>
            </w:pPr>
            <w:r>
              <w:rPr>
                <w:rFonts w:ascii="Segoe UI" w:hAnsi="Segoe UI"/>
                <w:b/>
                <w:color w:val="FFFFFF"/>
                <w:sz w:val="18"/>
              </w:rPr>
              <w:t>Column Header</w:t>
            </w:r>
          </w:p>
        </w:tc>
        <w:tc>
          <w:tcPr>
            <w:tcW w:type="dxa" w:w="1440"/>
            <w:shd w:fill="0F172A"/>
            <w:tcMar>
              <w:top w:w="120" w:type="dxa"/>
              <w:bottom w:w="120" w:type="dxa"/>
              <w:left w:w="140" w:type="dxa"/>
              <w:right w:w="140" w:type="dxa"/>
            </w:tcMar>
          </w:tcPr>
          <w:p>
            <w:pPr>
              <w:spacing w:before="40" w:after="40"/>
              <w:jc w:val="left"/>
            </w:pPr>
            <w:r>
              <w:rPr>
                <w:rFonts w:ascii="Segoe UI" w:hAnsi="Segoe UI"/>
                <w:b/>
                <w:color w:val="FFFFFF"/>
                <w:sz w:val="18"/>
              </w:rPr>
              <w:t>Mandatory</w:t>
            </w:r>
          </w:p>
        </w:tc>
        <w:tc>
          <w:tcPr>
            <w:tcW w:type="dxa" w:w="2880"/>
            <w:shd w:fill="0F172A"/>
            <w:tcMar>
              <w:top w:w="120" w:type="dxa"/>
              <w:bottom w:w="120" w:type="dxa"/>
              <w:left w:w="140" w:type="dxa"/>
              <w:right w:w="140" w:type="dxa"/>
            </w:tcMar>
          </w:tcPr>
          <w:p>
            <w:pPr>
              <w:spacing w:before="40" w:after="40"/>
              <w:jc w:val="left"/>
            </w:pPr>
            <w:r>
              <w:rPr>
                <w:rFonts w:ascii="Segoe UI" w:hAnsi="Segoe UI"/>
                <w:b/>
                <w:color w:val="FFFFFF"/>
                <w:sz w:val="18"/>
              </w:rPr>
              <w:t>Format / Allowed Values</w:t>
            </w:r>
          </w:p>
        </w:tc>
        <w:tc>
          <w:tcPr>
            <w:tcW w:type="dxa" w:w="3600"/>
            <w:shd w:fill="0F172A"/>
            <w:tcMar>
              <w:top w:w="120" w:type="dxa"/>
              <w:bottom w:w="120" w:type="dxa"/>
              <w:left w:w="140" w:type="dxa"/>
              <w:right w:w="140" w:type="dxa"/>
            </w:tcMar>
          </w:tcPr>
          <w:p>
            <w:pPr>
              <w:spacing w:before="40" w:after="40"/>
              <w:jc w:val="left"/>
            </w:pPr>
            <w:r>
              <w:rPr>
                <w:rFonts w:ascii="Segoe UI" w:hAnsi="Segoe UI"/>
                <w:b/>
                <w:color w:val="FFFFFF"/>
                <w:sz w:val="18"/>
              </w:rPr>
              <w:t>Practical Example</w:t>
            </w:r>
          </w:p>
        </w:tc>
      </w:tr>
      <w:tr>
        <w:tc>
          <w:tcPr>
            <w:tcW w:type="dxa" w:w="1872"/>
            <w:shd w:fill="FFFFFF"/>
            <w:tcMar>
              <w:top w:w="100" w:type="dxa"/>
              <w:bottom w:w="100" w:type="dxa"/>
              <w:left w:w="140" w:type="dxa"/>
              <w:right w:w="140" w:type="dxa"/>
            </w:tcMar>
          </w:tcPr>
          <w:p>
            <w:pPr>
              <w:spacing w:before="40" w:after="40"/>
              <w:jc w:val="left"/>
            </w:pPr>
            <w:r>
              <w:rPr>
                <w:rFonts w:ascii="Segoe UI" w:hAnsi="Segoe UI"/>
                <w:color w:val="1E293B"/>
                <w:sz w:val="17"/>
              </w:rPr>
              <w:t>category</w:t>
            </w:r>
          </w:p>
        </w:tc>
        <w:tc>
          <w:tcPr>
            <w:tcW w:type="dxa" w:w="1440"/>
            <w:shd w:fill="FFFFFF"/>
            <w:tcMar>
              <w:top w:w="100" w:type="dxa"/>
              <w:bottom w:w="100" w:type="dxa"/>
              <w:left w:w="140" w:type="dxa"/>
              <w:right w:w="140" w:type="dxa"/>
            </w:tcMar>
          </w:tcPr>
          <w:p>
            <w:pPr>
              <w:spacing w:before="40" w:after="40"/>
              <w:jc w:val="left"/>
            </w:pPr>
            <w:r>
              <w:rPr>
                <w:rFonts w:ascii="Segoe UI" w:hAnsi="Segoe UI"/>
                <w:color w:val="1E293B"/>
                <w:sz w:val="17"/>
              </w:rPr>
              <w:t>YES</w:t>
            </w:r>
          </w:p>
        </w:tc>
        <w:tc>
          <w:tcPr>
            <w:tcW w:type="dxa" w:w="2880"/>
            <w:shd w:fill="FFFFFF"/>
            <w:tcMar>
              <w:top w:w="100" w:type="dxa"/>
              <w:bottom w:w="100" w:type="dxa"/>
              <w:left w:w="140" w:type="dxa"/>
              <w:right w:w="140" w:type="dxa"/>
            </w:tcMar>
          </w:tcPr>
          <w:p>
            <w:pPr>
              <w:spacing w:before="40" w:after="40"/>
              <w:jc w:val="left"/>
            </w:pPr>
            <w:r>
              <w:rPr>
                <w:rFonts w:ascii="Segoe UI" w:hAnsi="Segoe UI"/>
                <w:color w:val="1E293B"/>
                <w:sz w:val="17"/>
              </w:rPr>
              <w:t>Category or Trade Area</w:t>
            </w:r>
          </w:p>
        </w:tc>
        <w:tc>
          <w:tcPr>
            <w:tcW w:type="dxa" w:w="3600"/>
            <w:shd w:fill="FFFFFF"/>
            <w:tcMar>
              <w:top w:w="100" w:type="dxa"/>
              <w:bottom w:w="100" w:type="dxa"/>
              <w:left w:w="140" w:type="dxa"/>
              <w:right w:w="140" w:type="dxa"/>
            </w:tcMar>
          </w:tcPr>
          <w:p>
            <w:pPr>
              <w:spacing w:before="40" w:after="40"/>
              <w:jc w:val="left"/>
            </w:pPr>
            <w:r>
              <w:rPr>
                <w:rFonts w:ascii="Segoe UI" w:hAnsi="Segoe UI"/>
                <w:color w:val="1E293B"/>
                <w:sz w:val="17"/>
              </w:rPr>
              <w:t>Workshop Safety &amp; OSHA Standards</w:t>
            </w:r>
          </w:p>
        </w:tc>
      </w:tr>
      <w:tr>
        <w:tc>
          <w:tcPr>
            <w:tcW w:type="dxa" w:w="1872"/>
            <w:shd w:fill="F8FAFC"/>
            <w:tcMar>
              <w:top w:w="100" w:type="dxa"/>
              <w:bottom w:w="100" w:type="dxa"/>
              <w:left w:w="140" w:type="dxa"/>
              <w:right w:w="140" w:type="dxa"/>
            </w:tcMar>
          </w:tcPr>
          <w:p>
            <w:pPr>
              <w:spacing w:before="40" w:after="40"/>
              <w:jc w:val="left"/>
            </w:pPr>
            <w:r>
              <w:rPr>
                <w:rFonts w:ascii="Segoe UI" w:hAnsi="Segoe UI"/>
                <w:color w:val="1E293B"/>
                <w:sz w:val="17"/>
              </w:rPr>
              <w:t>question_text</w:t>
            </w:r>
          </w:p>
        </w:tc>
        <w:tc>
          <w:tcPr>
            <w:tcW w:type="dxa" w:w="1440"/>
            <w:shd w:fill="F8FAFC"/>
            <w:tcMar>
              <w:top w:w="100" w:type="dxa"/>
              <w:bottom w:w="100" w:type="dxa"/>
              <w:left w:w="140" w:type="dxa"/>
              <w:right w:w="140" w:type="dxa"/>
            </w:tcMar>
          </w:tcPr>
          <w:p>
            <w:pPr>
              <w:spacing w:before="40" w:after="40"/>
              <w:jc w:val="left"/>
            </w:pPr>
            <w:r>
              <w:rPr>
                <w:rFonts w:ascii="Segoe UI" w:hAnsi="Segoe UI"/>
                <w:color w:val="1E293B"/>
                <w:sz w:val="17"/>
              </w:rPr>
              <w:t>YES</w:t>
            </w:r>
          </w:p>
        </w:tc>
        <w:tc>
          <w:tcPr>
            <w:tcW w:type="dxa" w:w="2880"/>
            <w:shd w:fill="F8FAFC"/>
            <w:tcMar>
              <w:top w:w="100" w:type="dxa"/>
              <w:bottom w:w="100" w:type="dxa"/>
              <w:left w:w="140" w:type="dxa"/>
              <w:right w:w="140" w:type="dxa"/>
            </w:tcMar>
          </w:tcPr>
          <w:p>
            <w:pPr>
              <w:spacing w:before="40" w:after="40"/>
              <w:jc w:val="left"/>
            </w:pPr>
            <w:r>
              <w:rPr>
                <w:rFonts w:ascii="Segoe UI" w:hAnsi="Segoe UI"/>
                <w:color w:val="1E293B"/>
                <w:sz w:val="17"/>
              </w:rPr>
              <w:t>Full question prompt</w:t>
            </w:r>
          </w:p>
        </w:tc>
        <w:tc>
          <w:tcPr>
            <w:tcW w:type="dxa" w:w="3600"/>
            <w:shd w:fill="F8FAFC"/>
            <w:tcMar>
              <w:top w:w="100" w:type="dxa"/>
              <w:bottom w:w="100" w:type="dxa"/>
              <w:left w:w="140" w:type="dxa"/>
              <w:right w:w="140" w:type="dxa"/>
            </w:tcMar>
          </w:tcPr>
          <w:p>
            <w:pPr>
              <w:spacing w:before="40" w:after="40"/>
              <w:jc w:val="left"/>
            </w:pPr>
            <w:r>
              <w:rPr>
                <w:rFonts w:ascii="Segoe UI" w:hAnsi="Segoe UI"/>
                <w:color w:val="1E293B"/>
                <w:sz w:val="17"/>
              </w:rPr>
              <w:t>What is the primary function of an earth leakage circuit breaker (ELCB)?</w:t>
            </w:r>
          </w:p>
        </w:tc>
      </w:tr>
      <w:tr>
        <w:tc>
          <w:tcPr>
            <w:tcW w:type="dxa" w:w="1872"/>
            <w:shd w:fill="FFFFFF"/>
            <w:tcMar>
              <w:top w:w="100" w:type="dxa"/>
              <w:bottom w:w="100" w:type="dxa"/>
              <w:left w:w="140" w:type="dxa"/>
              <w:right w:w="140" w:type="dxa"/>
            </w:tcMar>
          </w:tcPr>
          <w:p>
            <w:pPr>
              <w:spacing w:before="40" w:after="40"/>
              <w:jc w:val="left"/>
            </w:pPr>
            <w:r>
              <w:rPr>
                <w:rFonts w:ascii="Segoe UI" w:hAnsi="Segoe UI"/>
                <w:color w:val="1E293B"/>
                <w:sz w:val="17"/>
              </w:rPr>
              <w:t>option_a</w:t>
            </w:r>
          </w:p>
        </w:tc>
        <w:tc>
          <w:tcPr>
            <w:tcW w:type="dxa" w:w="1440"/>
            <w:shd w:fill="FFFFFF"/>
            <w:tcMar>
              <w:top w:w="100" w:type="dxa"/>
              <w:bottom w:w="100" w:type="dxa"/>
              <w:left w:w="140" w:type="dxa"/>
              <w:right w:w="140" w:type="dxa"/>
            </w:tcMar>
          </w:tcPr>
          <w:p>
            <w:pPr>
              <w:spacing w:before="40" w:after="40"/>
              <w:jc w:val="left"/>
            </w:pPr>
            <w:r>
              <w:rPr>
                <w:rFonts w:ascii="Segoe UI" w:hAnsi="Segoe UI"/>
                <w:color w:val="1E293B"/>
                <w:sz w:val="17"/>
              </w:rPr>
              <w:t>YES</w:t>
            </w:r>
          </w:p>
        </w:tc>
        <w:tc>
          <w:tcPr>
            <w:tcW w:type="dxa" w:w="2880"/>
            <w:shd w:fill="FFFFFF"/>
            <w:tcMar>
              <w:top w:w="100" w:type="dxa"/>
              <w:bottom w:w="100" w:type="dxa"/>
              <w:left w:w="140" w:type="dxa"/>
              <w:right w:w="140" w:type="dxa"/>
            </w:tcMar>
          </w:tcPr>
          <w:p>
            <w:pPr>
              <w:spacing w:before="40" w:after="40"/>
              <w:jc w:val="left"/>
            </w:pPr>
            <w:r>
              <w:rPr>
                <w:rFonts w:ascii="Segoe UI" w:hAnsi="Segoe UI"/>
                <w:color w:val="1E293B"/>
                <w:sz w:val="17"/>
              </w:rPr>
              <w:t>Text for choice A</w:t>
            </w:r>
          </w:p>
        </w:tc>
        <w:tc>
          <w:tcPr>
            <w:tcW w:type="dxa" w:w="3600"/>
            <w:shd w:fill="FFFFFF"/>
            <w:tcMar>
              <w:top w:w="100" w:type="dxa"/>
              <w:bottom w:w="100" w:type="dxa"/>
              <w:left w:w="140" w:type="dxa"/>
              <w:right w:w="140" w:type="dxa"/>
            </w:tcMar>
          </w:tcPr>
          <w:p>
            <w:pPr>
              <w:spacing w:before="40" w:after="40"/>
              <w:jc w:val="left"/>
            </w:pPr>
            <w:r>
              <w:rPr>
                <w:rFonts w:ascii="Segoe UI" w:hAnsi="Segoe UI"/>
                <w:color w:val="1E293B"/>
                <w:sz w:val="17"/>
              </w:rPr>
              <w:t>Detect residual current leakage to earth and trip the supply</w:t>
            </w:r>
          </w:p>
        </w:tc>
      </w:tr>
      <w:tr>
        <w:tc>
          <w:tcPr>
            <w:tcW w:type="dxa" w:w="1872"/>
            <w:shd w:fill="F8FAFC"/>
            <w:tcMar>
              <w:top w:w="100" w:type="dxa"/>
              <w:bottom w:w="100" w:type="dxa"/>
              <w:left w:w="140" w:type="dxa"/>
              <w:right w:w="140" w:type="dxa"/>
            </w:tcMar>
          </w:tcPr>
          <w:p>
            <w:pPr>
              <w:spacing w:before="40" w:after="40"/>
              <w:jc w:val="left"/>
            </w:pPr>
            <w:r>
              <w:rPr>
                <w:rFonts w:ascii="Segoe UI" w:hAnsi="Segoe UI"/>
                <w:color w:val="1E293B"/>
                <w:sz w:val="17"/>
              </w:rPr>
              <w:t>option_b</w:t>
            </w:r>
          </w:p>
        </w:tc>
        <w:tc>
          <w:tcPr>
            <w:tcW w:type="dxa" w:w="1440"/>
            <w:shd w:fill="F8FAFC"/>
            <w:tcMar>
              <w:top w:w="100" w:type="dxa"/>
              <w:bottom w:w="100" w:type="dxa"/>
              <w:left w:w="140" w:type="dxa"/>
              <w:right w:w="140" w:type="dxa"/>
            </w:tcMar>
          </w:tcPr>
          <w:p>
            <w:pPr>
              <w:spacing w:before="40" w:after="40"/>
              <w:jc w:val="left"/>
            </w:pPr>
            <w:r>
              <w:rPr>
                <w:rFonts w:ascii="Segoe UI" w:hAnsi="Segoe UI"/>
                <w:color w:val="1E293B"/>
                <w:sz w:val="17"/>
              </w:rPr>
              <w:t>YES</w:t>
            </w:r>
          </w:p>
        </w:tc>
        <w:tc>
          <w:tcPr>
            <w:tcW w:type="dxa" w:w="2880"/>
            <w:shd w:fill="F8FAFC"/>
            <w:tcMar>
              <w:top w:w="100" w:type="dxa"/>
              <w:bottom w:w="100" w:type="dxa"/>
              <w:left w:w="140" w:type="dxa"/>
              <w:right w:w="140" w:type="dxa"/>
            </w:tcMar>
          </w:tcPr>
          <w:p>
            <w:pPr>
              <w:spacing w:before="40" w:after="40"/>
              <w:jc w:val="left"/>
            </w:pPr>
            <w:r>
              <w:rPr>
                <w:rFonts w:ascii="Segoe UI" w:hAnsi="Segoe UI"/>
                <w:color w:val="1E293B"/>
                <w:sz w:val="17"/>
              </w:rPr>
              <w:t>Text for choice B</w:t>
            </w:r>
          </w:p>
        </w:tc>
        <w:tc>
          <w:tcPr>
            <w:tcW w:type="dxa" w:w="3600"/>
            <w:shd w:fill="F8FAFC"/>
            <w:tcMar>
              <w:top w:w="100" w:type="dxa"/>
              <w:bottom w:w="100" w:type="dxa"/>
              <w:left w:w="140" w:type="dxa"/>
              <w:right w:w="140" w:type="dxa"/>
            </w:tcMar>
          </w:tcPr>
          <w:p>
            <w:pPr>
              <w:spacing w:before="40" w:after="40"/>
              <w:jc w:val="left"/>
            </w:pPr>
            <w:r>
              <w:rPr>
                <w:rFonts w:ascii="Segoe UI" w:hAnsi="Segoe UI"/>
                <w:color w:val="1E293B"/>
                <w:sz w:val="17"/>
              </w:rPr>
              <w:t>Regulate electrical line voltage during motor start-up</w:t>
            </w:r>
          </w:p>
        </w:tc>
      </w:tr>
      <w:tr>
        <w:tc>
          <w:tcPr>
            <w:tcW w:type="dxa" w:w="1872"/>
            <w:shd w:fill="FFFFFF"/>
            <w:tcMar>
              <w:top w:w="100" w:type="dxa"/>
              <w:bottom w:w="100" w:type="dxa"/>
              <w:left w:w="140" w:type="dxa"/>
              <w:right w:w="140" w:type="dxa"/>
            </w:tcMar>
          </w:tcPr>
          <w:p>
            <w:pPr>
              <w:spacing w:before="40" w:after="40"/>
              <w:jc w:val="left"/>
            </w:pPr>
            <w:r>
              <w:rPr>
                <w:rFonts w:ascii="Segoe UI" w:hAnsi="Segoe UI"/>
                <w:color w:val="1E293B"/>
                <w:sz w:val="17"/>
              </w:rPr>
              <w:t>option_c</w:t>
            </w:r>
          </w:p>
        </w:tc>
        <w:tc>
          <w:tcPr>
            <w:tcW w:type="dxa" w:w="1440"/>
            <w:shd w:fill="FFFFFF"/>
            <w:tcMar>
              <w:top w:w="100" w:type="dxa"/>
              <w:bottom w:w="100" w:type="dxa"/>
              <w:left w:w="140" w:type="dxa"/>
              <w:right w:w="140" w:type="dxa"/>
            </w:tcMar>
          </w:tcPr>
          <w:p>
            <w:pPr>
              <w:spacing w:before="40" w:after="40"/>
              <w:jc w:val="left"/>
            </w:pPr>
            <w:r>
              <w:rPr>
                <w:rFonts w:ascii="Segoe UI" w:hAnsi="Segoe UI"/>
                <w:color w:val="1E293B"/>
                <w:sz w:val="17"/>
              </w:rPr>
              <w:t>YES</w:t>
            </w:r>
          </w:p>
        </w:tc>
        <w:tc>
          <w:tcPr>
            <w:tcW w:type="dxa" w:w="2880"/>
            <w:shd w:fill="FFFFFF"/>
            <w:tcMar>
              <w:top w:w="100" w:type="dxa"/>
              <w:bottom w:w="100" w:type="dxa"/>
              <w:left w:w="140" w:type="dxa"/>
              <w:right w:w="140" w:type="dxa"/>
            </w:tcMar>
          </w:tcPr>
          <w:p>
            <w:pPr>
              <w:spacing w:before="40" w:after="40"/>
              <w:jc w:val="left"/>
            </w:pPr>
            <w:r>
              <w:rPr>
                <w:rFonts w:ascii="Segoe UI" w:hAnsi="Segoe UI"/>
                <w:color w:val="1E293B"/>
                <w:sz w:val="17"/>
              </w:rPr>
              <w:t>Text for choice C</w:t>
            </w:r>
          </w:p>
        </w:tc>
        <w:tc>
          <w:tcPr>
            <w:tcW w:type="dxa" w:w="3600"/>
            <w:shd w:fill="FFFFFF"/>
            <w:tcMar>
              <w:top w:w="100" w:type="dxa"/>
              <w:bottom w:w="100" w:type="dxa"/>
              <w:left w:w="140" w:type="dxa"/>
              <w:right w:w="140" w:type="dxa"/>
            </w:tcMar>
          </w:tcPr>
          <w:p>
            <w:pPr>
              <w:spacing w:before="40" w:after="40"/>
              <w:jc w:val="left"/>
            </w:pPr>
            <w:r>
              <w:rPr>
                <w:rFonts w:ascii="Segoe UI" w:hAnsi="Segoe UI"/>
                <w:color w:val="1E293B"/>
                <w:sz w:val="17"/>
              </w:rPr>
              <w:t>Step down secondary transformer winding current</w:t>
            </w:r>
          </w:p>
        </w:tc>
      </w:tr>
      <w:tr>
        <w:tc>
          <w:tcPr>
            <w:tcW w:type="dxa" w:w="1872"/>
            <w:shd w:fill="F8FAFC"/>
            <w:tcMar>
              <w:top w:w="100" w:type="dxa"/>
              <w:bottom w:w="100" w:type="dxa"/>
              <w:left w:w="140" w:type="dxa"/>
              <w:right w:w="140" w:type="dxa"/>
            </w:tcMar>
          </w:tcPr>
          <w:p>
            <w:pPr>
              <w:spacing w:before="40" w:after="40"/>
              <w:jc w:val="left"/>
            </w:pPr>
            <w:r>
              <w:rPr>
                <w:rFonts w:ascii="Segoe UI" w:hAnsi="Segoe UI"/>
                <w:color w:val="1E293B"/>
                <w:sz w:val="17"/>
              </w:rPr>
              <w:t>option_d</w:t>
            </w:r>
          </w:p>
        </w:tc>
        <w:tc>
          <w:tcPr>
            <w:tcW w:type="dxa" w:w="1440"/>
            <w:shd w:fill="F8FAFC"/>
            <w:tcMar>
              <w:top w:w="100" w:type="dxa"/>
              <w:bottom w:w="100" w:type="dxa"/>
              <w:left w:w="140" w:type="dxa"/>
              <w:right w:w="140" w:type="dxa"/>
            </w:tcMar>
          </w:tcPr>
          <w:p>
            <w:pPr>
              <w:spacing w:before="40" w:after="40"/>
              <w:jc w:val="left"/>
            </w:pPr>
            <w:r>
              <w:rPr>
                <w:rFonts w:ascii="Segoe UI" w:hAnsi="Segoe UI"/>
                <w:color w:val="1E293B"/>
                <w:sz w:val="17"/>
              </w:rPr>
              <w:t>YES</w:t>
            </w:r>
          </w:p>
        </w:tc>
        <w:tc>
          <w:tcPr>
            <w:tcW w:type="dxa" w:w="2880"/>
            <w:shd w:fill="F8FAFC"/>
            <w:tcMar>
              <w:top w:w="100" w:type="dxa"/>
              <w:bottom w:w="100" w:type="dxa"/>
              <w:left w:w="140" w:type="dxa"/>
              <w:right w:w="140" w:type="dxa"/>
            </w:tcMar>
          </w:tcPr>
          <w:p>
            <w:pPr>
              <w:spacing w:before="40" w:after="40"/>
              <w:jc w:val="left"/>
            </w:pPr>
            <w:r>
              <w:rPr>
                <w:rFonts w:ascii="Segoe UI" w:hAnsi="Segoe UI"/>
                <w:color w:val="1E293B"/>
                <w:sz w:val="17"/>
              </w:rPr>
              <w:t>Text for choice D</w:t>
            </w:r>
          </w:p>
        </w:tc>
        <w:tc>
          <w:tcPr>
            <w:tcW w:type="dxa" w:w="3600"/>
            <w:shd w:fill="F8FAFC"/>
            <w:tcMar>
              <w:top w:w="100" w:type="dxa"/>
              <w:bottom w:w="100" w:type="dxa"/>
              <w:left w:w="140" w:type="dxa"/>
              <w:right w:w="140" w:type="dxa"/>
            </w:tcMar>
          </w:tcPr>
          <w:p>
            <w:pPr>
              <w:spacing w:before="40" w:after="40"/>
              <w:jc w:val="left"/>
            </w:pPr>
            <w:r>
              <w:rPr>
                <w:rFonts w:ascii="Segoe UI" w:hAnsi="Segoe UI"/>
                <w:color w:val="1E293B"/>
                <w:sz w:val="17"/>
              </w:rPr>
              <w:t>Protect purely against thermal overloads</w:t>
            </w:r>
          </w:p>
        </w:tc>
      </w:tr>
      <w:tr>
        <w:tc>
          <w:tcPr>
            <w:tcW w:type="dxa" w:w="1872"/>
            <w:shd w:fill="FFFFFF"/>
            <w:tcMar>
              <w:top w:w="100" w:type="dxa"/>
              <w:bottom w:w="100" w:type="dxa"/>
              <w:left w:w="140" w:type="dxa"/>
              <w:right w:w="140" w:type="dxa"/>
            </w:tcMar>
          </w:tcPr>
          <w:p>
            <w:pPr>
              <w:spacing w:before="40" w:after="40"/>
              <w:jc w:val="left"/>
            </w:pPr>
            <w:r>
              <w:rPr>
                <w:rFonts w:ascii="Segoe UI" w:hAnsi="Segoe UI"/>
                <w:color w:val="1E293B"/>
                <w:sz w:val="17"/>
              </w:rPr>
              <w:t>correct_option</w:t>
            </w:r>
          </w:p>
        </w:tc>
        <w:tc>
          <w:tcPr>
            <w:tcW w:type="dxa" w:w="1440"/>
            <w:shd w:fill="FFFFFF"/>
            <w:tcMar>
              <w:top w:w="100" w:type="dxa"/>
              <w:bottom w:w="100" w:type="dxa"/>
              <w:left w:w="140" w:type="dxa"/>
              <w:right w:w="140" w:type="dxa"/>
            </w:tcMar>
          </w:tcPr>
          <w:p>
            <w:pPr>
              <w:spacing w:before="40" w:after="40"/>
              <w:jc w:val="left"/>
            </w:pPr>
            <w:r>
              <w:rPr>
                <w:rFonts w:ascii="Segoe UI" w:hAnsi="Segoe UI"/>
                <w:color w:val="1E293B"/>
                <w:sz w:val="17"/>
              </w:rPr>
              <w:t>YES</w:t>
            </w:r>
          </w:p>
        </w:tc>
        <w:tc>
          <w:tcPr>
            <w:tcW w:type="dxa" w:w="2880"/>
            <w:shd w:fill="FFFFFF"/>
            <w:tcMar>
              <w:top w:w="100" w:type="dxa"/>
              <w:bottom w:w="100" w:type="dxa"/>
              <w:left w:w="140" w:type="dxa"/>
              <w:right w:w="140" w:type="dxa"/>
            </w:tcMar>
          </w:tcPr>
          <w:p>
            <w:pPr>
              <w:spacing w:before="40" w:after="40"/>
              <w:jc w:val="left"/>
            </w:pPr>
            <w:r>
              <w:rPr>
                <w:rFonts w:ascii="Segoe UI" w:hAnsi="Segoe UI"/>
                <w:color w:val="1E293B"/>
                <w:sz w:val="17"/>
              </w:rPr>
              <w:t>A, B, C, or D (Case-insensitive)</w:t>
            </w:r>
          </w:p>
        </w:tc>
        <w:tc>
          <w:tcPr>
            <w:tcW w:type="dxa" w:w="3600"/>
            <w:shd w:fill="FFFFFF"/>
            <w:tcMar>
              <w:top w:w="100" w:type="dxa"/>
              <w:bottom w:w="100" w:type="dxa"/>
              <w:left w:w="140" w:type="dxa"/>
              <w:right w:w="140" w:type="dxa"/>
            </w:tcMar>
          </w:tcPr>
          <w:p>
            <w:pPr>
              <w:spacing w:before="40" w:after="40"/>
              <w:jc w:val="left"/>
            </w:pPr>
            <w:r>
              <w:rPr>
                <w:rFonts w:ascii="Segoe UI" w:hAnsi="Segoe UI"/>
                <w:color w:val="1E293B"/>
                <w:sz w:val="17"/>
              </w:rPr>
              <w:t>A</w:t>
            </w:r>
          </w:p>
        </w:tc>
      </w:tr>
      <w:tr>
        <w:tc>
          <w:tcPr>
            <w:tcW w:type="dxa" w:w="1872"/>
            <w:shd w:fill="F8FAFC"/>
            <w:tcMar>
              <w:top w:w="100" w:type="dxa"/>
              <w:bottom w:w="100" w:type="dxa"/>
              <w:left w:w="140" w:type="dxa"/>
              <w:right w:w="140" w:type="dxa"/>
            </w:tcMar>
          </w:tcPr>
          <w:p>
            <w:pPr>
              <w:spacing w:before="40" w:after="40"/>
              <w:jc w:val="left"/>
            </w:pPr>
            <w:r>
              <w:rPr>
                <w:rFonts w:ascii="Segoe UI" w:hAnsi="Segoe UI"/>
                <w:color w:val="1E293B"/>
                <w:sz w:val="17"/>
              </w:rPr>
              <w:t>explanation</w:t>
            </w:r>
          </w:p>
        </w:tc>
        <w:tc>
          <w:tcPr>
            <w:tcW w:type="dxa" w:w="1440"/>
            <w:shd w:fill="F8FAFC"/>
            <w:tcMar>
              <w:top w:w="100" w:type="dxa"/>
              <w:bottom w:w="100" w:type="dxa"/>
              <w:left w:w="140" w:type="dxa"/>
              <w:right w:w="140" w:type="dxa"/>
            </w:tcMar>
          </w:tcPr>
          <w:p>
            <w:pPr>
              <w:spacing w:before="40" w:after="40"/>
              <w:jc w:val="left"/>
            </w:pPr>
            <w:r>
              <w:rPr>
                <w:rFonts w:ascii="Segoe UI" w:hAnsi="Segoe UI"/>
                <w:color w:val="1E293B"/>
                <w:sz w:val="17"/>
              </w:rPr>
              <w:t>NO</w:t>
            </w:r>
          </w:p>
        </w:tc>
        <w:tc>
          <w:tcPr>
            <w:tcW w:type="dxa" w:w="2880"/>
            <w:shd w:fill="F8FAFC"/>
            <w:tcMar>
              <w:top w:w="100" w:type="dxa"/>
              <w:bottom w:w="100" w:type="dxa"/>
              <w:left w:w="140" w:type="dxa"/>
              <w:right w:w="140" w:type="dxa"/>
            </w:tcMar>
          </w:tcPr>
          <w:p>
            <w:pPr>
              <w:spacing w:before="40" w:after="40"/>
              <w:jc w:val="left"/>
            </w:pPr>
            <w:r>
              <w:rPr>
                <w:rFonts w:ascii="Segoe UI" w:hAnsi="Segoe UI"/>
                <w:color w:val="1E293B"/>
                <w:sz w:val="17"/>
              </w:rPr>
              <w:t>Pedagogical explanation for review</w:t>
            </w:r>
          </w:p>
        </w:tc>
        <w:tc>
          <w:tcPr>
            <w:tcW w:type="dxa" w:w="3600"/>
            <w:shd w:fill="F8FAFC"/>
            <w:tcMar>
              <w:top w:w="100" w:type="dxa"/>
              <w:bottom w:w="100" w:type="dxa"/>
              <w:left w:w="140" w:type="dxa"/>
              <w:right w:w="140" w:type="dxa"/>
            </w:tcMar>
          </w:tcPr>
          <w:p>
            <w:pPr>
              <w:spacing w:before="40" w:after="40"/>
              <w:jc w:val="left"/>
            </w:pPr>
            <w:r>
              <w:rPr>
                <w:rFonts w:ascii="Segoe UI" w:hAnsi="Segoe UI"/>
                <w:color w:val="1E293B"/>
                <w:sz w:val="17"/>
              </w:rPr>
              <w:t>ELCBs detect residual current imbalances to prevent electric shock.</w:t>
            </w:r>
          </w:p>
        </w:tc>
      </w:tr>
      <w:tr>
        <w:tc>
          <w:tcPr>
            <w:tcW w:type="dxa" w:w="1872"/>
            <w:shd w:fill="FFFFFF"/>
            <w:tcMar>
              <w:top w:w="100" w:type="dxa"/>
              <w:bottom w:w="100" w:type="dxa"/>
              <w:left w:w="140" w:type="dxa"/>
              <w:right w:w="140" w:type="dxa"/>
            </w:tcMar>
          </w:tcPr>
          <w:p>
            <w:pPr>
              <w:spacing w:before="40" w:after="40"/>
              <w:jc w:val="left"/>
            </w:pPr>
            <w:r>
              <w:rPr>
                <w:rFonts w:ascii="Segoe UI" w:hAnsi="Segoe UI"/>
                <w:color w:val="1E293B"/>
                <w:sz w:val="17"/>
              </w:rPr>
              <w:t>points</w:t>
            </w:r>
          </w:p>
        </w:tc>
        <w:tc>
          <w:tcPr>
            <w:tcW w:type="dxa" w:w="1440"/>
            <w:shd w:fill="FFFFFF"/>
            <w:tcMar>
              <w:top w:w="100" w:type="dxa"/>
              <w:bottom w:w="100" w:type="dxa"/>
              <w:left w:w="140" w:type="dxa"/>
              <w:right w:w="140" w:type="dxa"/>
            </w:tcMar>
          </w:tcPr>
          <w:p>
            <w:pPr>
              <w:spacing w:before="40" w:after="40"/>
              <w:jc w:val="left"/>
            </w:pPr>
            <w:r>
              <w:rPr>
                <w:rFonts w:ascii="Segoe UI" w:hAnsi="Segoe UI"/>
                <w:color w:val="1E293B"/>
                <w:sz w:val="17"/>
              </w:rPr>
              <w:t>NO</w:t>
            </w:r>
          </w:p>
        </w:tc>
        <w:tc>
          <w:tcPr>
            <w:tcW w:type="dxa" w:w="2880"/>
            <w:shd w:fill="FFFFFF"/>
            <w:tcMar>
              <w:top w:w="100" w:type="dxa"/>
              <w:bottom w:w="100" w:type="dxa"/>
              <w:left w:w="140" w:type="dxa"/>
              <w:right w:w="140" w:type="dxa"/>
            </w:tcMar>
          </w:tcPr>
          <w:p>
            <w:pPr>
              <w:spacing w:before="40" w:after="40"/>
              <w:jc w:val="left"/>
            </w:pPr>
            <w:r>
              <w:rPr>
                <w:rFonts w:ascii="Segoe UI" w:hAnsi="Segoe UI"/>
                <w:color w:val="1E293B"/>
                <w:sz w:val="17"/>
              </w:rPr>
              <w:t>Numeric value (Default: 1.0)</w:t>
            </w:r>
          </w:p>
        </w:tc>
        <w:tc>
          <w:tcPr>
            <w:tcW w:type="dxa" w:w="3600"/>
            <w:shd w:fill="FFFFFF"/>
            <w:tcMar>
              <w:top w:w="100" w:type="dxa"/>
              <w:bottom w:w="100" w:type="dxa"/>
              <w:left w:w="140" w:type="dxa"/>
              <w:right w:w="140" w:type="dxa"/>
            </w:tcMar>
          </w:tcPr>
          <w:p>
            <w:pPr>
              <w:spacing w:before="40" w:after="40"/>
              <w:jc w:val="left"/>
            </w:pPr>
            <w:r>
              <w:rPr>
                <w:rFonts w:ascii="Segoe UI" w:hAnsi="Segoe UI"/>
                <w:color w:val="1E293B"/>
                <w:sz w:val="17"/>
              </w:rPr>
              <w:t>1.0</w:t>
            </w:r>
          </w:p>
        </w:tc>
      </w:tr>
    </w:tbl>
    <w:p>
      <w:pPr>
        <w:spacing w:before="0" w:after="120"/>
      </w:pPr>
    </w:p>
    <w:p>
      <w:pPr>
        <w:keepNext/>
        <w:spacing w:before="240" w:after="60"/>
      </w:pPr>
      <w:r>
        <w:rPr>
          <w:rFonts w:ascii="Segoe UI" w:hAnsi="Segoe UI"/>
          <w:b/>
          <w:color w:val="0D9488"/>
          <w:sz w:val="23"/>
        </w:rPr>
        <w:t>Ingestion Strategies: Append vs Replace</w:t>
      </w:r>
    </w:p>
    <w:p>
      <w:pPr>
        <w:pStyle w:val="ListBullet"/>
        <w:spacing w:before="40" w:after="60" w:line="276" w:lineRule="auto"/>
      </w:pPr>
      <w:r>
        <w:rPr>
          <w:rFonts w:ascii="Segoe UI" w:hAnsi="Segoe UI"/>
          <w:b/>
          <w:color w:val="1E293B"/>
          <w:sz w:val="19"/>
        </w:rPr>
        <w:t xml:space="preserve">Append Mode: </w:t>
      </w:r>
      <w:r>
        <w:rPr>
          <w:rFonts w:ascii="Segoe UI" w:hAnsi="Segoe UI"/>
          <w:color w:val="334155"/>
          <w:sz w:val="19"/>
        </w:rPr>
        <w:t>Maintains any existing questions in the exam and appends new items from the CSV to the end of the question bank.</w:t>
      </w:r>
    </w:p>
    <w:p>
      <w:pPr>
        <w:pStyle w:val="ListBullet"/>
        <w:spacing w:before="40" w:after="60" w:line="276" w:lineRule="auto"/>
      </w:pPr>
      <w:r>
        <w:rPr>
          <w:rFonts w:ascii="Segoe UI" w:hAnsi="Segoe UI"/>
          <w:b/>
          <w:color w:val="1E293B"/>
          <w:sz w:val="19"/>
        </w:rPr>
        <w:t xml:space="preserve">Replace Mode: </w:t>
      </w:r>
      <w:r>
        <w:rPr>
          <w:rFonts w:ascii="Segoe UI" w:hAnsi="Segoe UI"/>
          <w:color w:val="334155"/>
          <w:sz w:val="19"/>
        </w:rPr>
        <w:t>Safely purges existing questions for that specific exam and replaces them with the contents of the CSV.</w:t>
      </w:r>
    </w:p>
    <w:tbl>
      <w:tblPr>
        <w:tblW w:type="auto" w:w="0"/>
        <w:jc w:val="center"/>
        <w:tblLayout w:type="fixed"/>
        <w:tblLook w:firstColumn="1" w:firstRow="1" w:lastColumn="0" w:lastRow="0" w:noHBand="0" w:noVBand="1" w:val="04A0"/>
      </w:tblPr>
      <w:tblGrid>
        <w:gridCol w:w="9792"/>
      </w:tblGrid>
      <w:tr>
        <w:tc>
          <w:tcPr>
            <w:tcW w:type="dxa" w:w="10080"/>
            <w:shd w:fill="F0FDFA"/>
            <w:tcMar>
              <w:top w:w="140" w:type="dxa"/>
              <w:bottom w:w="140" w:type="dxa"/>
              <w:left w:w="200" w:type="dxa"/>
              <w:right w:w="200" w:type="dxa"/>
            </w:tcMar>
            <w:tcBorders>
              <w:top w:val="none"/>
              <w:left w:val="single" w:sz="24" w:space="0" w:color="0D9488"/>
              <w:bottom w:val="none"/>
              <w:right w:val="none"/>
            </w:tcBorders>
          </w:tcPr>
          <w:p>
            <w:pPr>
              <w:spacing w:before="40" w:after="40" w:line="276" w:lineRule="auto"/>
            </w:pPr>
            <w:r>
              <w:rPr>
                <w:rFonts w:ascii="Segoe UI" w:hAnsi="Segoe UI"/>
                <w:b/>
                <w:color w:val="0F766E"/>
                <w:sz w:val="19"/>
              </w:rPr>
              <w:t xml:space="preserve">[CSV ENCODING &amp; UPLOAD SPECS] </w:t>
            </w:r>
            <w:r>
              <w:rPr>
                <w:rFonts w:ascii="Segoe UI" w:hAnsi="Segoe UI"/>
                <w:color w:val="334155"/>
                <w:sz w:val="19"/>
              </w:rPr>
              <w:t>The system enforces a 60MB file upload ceiling. Always ensure your CSV file is saved with UTF-8 encoding and standard comma delimiters. A pre-formatted sample CSV template is downloadable directly from the Question Bank screen.</w:t>
            </w:r>
          </w:p>
        </w:tc>
      </w:tr>
    </w:tbl>
    <w:p>
      <w:pPr>
        <w:spacing w:before="0" w:after="120"/>
      </w:pPr>
    </w:p>
    <w:p>
      <w:pPr>
        <w:keepNext/>
        <w:spacing w:before="320" w:after="80"/>
      </w:pPr>
      <w:r>
        <w:rPr>
          <w:rFonts w:ascii="Segoe UI" w:hAnsi="Segoe UI"/>
          <w:b/>
          <w:color w:val="0F172A"/>
          <w:sz w:val="28"/>
        </w:rPr>
        <w:t>5. Standard Operating Procedures &amp; Server Maintenance</w:t>
      </w:r>
    </w:p>
    <w:p>
      <w:r>
        <w:t>To ensure uninterrupted reliability and prevent 404 route errors on production shared hosting environments (such as Hostinger), adhere to the following maintenance procedures.</w:t>
      </w:r>
    </w:p>
    <w:p>
      <w:pPr>
        <w:keepNext/>
        <w:spacing w:before="240" w:after="60"/>
      </w:pPr>
      <w:r>
        <w:rPr>
          <w:rFonts w:ascii="Segoe UI" w:hAnsi="Segoe UI"/>
          <w:b/>
          <w:color w:val="0D9488"/>
          <w:sz w:val="23"/>
        </w:rPr>
        <w:t>Production Deployment Command Checklist</w:t>
      </w:r>
    </w:p>
    <w:p>
      <w:r>
        <w:t>Execute the following command sequence inside the application directory whenever new updates or route definitions are deployed:</w:t>
        <w:br/>
        <w:t xml:space="preserve">  1. git pull origin main</w:t>
        <w:br/>
        <w:t xml:space="preserve">  2. php artisan optimize:clear</w:t>
        <w:br/>
        <w:t xml:space="preserve">  3. php artisan route:cache</w:t>
        <w:br/>
        <w:t xml:space="preserve">  4. php artisan view:cache</w:t>
        <w:br/>
        <w:t xml:space="preserve">  5. php artisan config:cache</w:t>
      </w:r>
    </w:p>
    <w:p>
      <w:pPr>
        <w:keepNext/>
        <w:spacing w:before="240" w:after="60"/>
      </w:pPr>
      <w:r>
        <w:rPr>
          <w:rFonts w:ascii="Segoe UI" w:hAnsi="Segoe UI"/>
          <w:b/>
          <w:color w:val="0D9488"/>
          <w:sz w:val="23"/>
        </w:rPr>
        <w:t>Technical Support &amp; Coordination</w:t>
      </w:r>
    </w:p>
    <w:p>
      <w:pPr>
        <w:pStyle w:val="ListBullet"/>
        <w:spacing w:before="40" w:after="60" w:line="276" w:lineRule="auto"/>
      </w:pPr>
      <w:r>
        <w:rPr>
          <w:rFonts w:ascii="Segoe UI" w:hAnsi="Segoe UI"/>
          <w:b/>
          <w:color w:val="1E293B"/>
          <w:sz w:val="19"/>
        </w:rPr>
        <w:t xml:space="preserve">Operating Agency: </w:t>
      </w:r>
      <w:r>
        <w:rPr>
          <w:rFonts w:ascii="Segoe UI" w:hAnsi="Segoe UI"/>
          <w:color w:val="334155"/>
          <w:sz w:val="19"/>
        </w:rPr>
        <w:t>Greg &amp; Co. ICT Ltd — Lead TVET Digital Innovations Partner</w:t>
      </w:r>
    </w:p>
    <w:p>
      <w:pPr>
        <w:pStyle w:val="ListBullet"/>
        <w:spacing w:before="40" w:after="60" w:line="276" w:lineRule="auto"/>
      </w:pPr>
      <w:r>
        <w:rPr>
          <w:rFonts w:ascii="Segoe UI" w:hAnsi="Segoe UI"/>
          <w:b/>
          <w:color w:val="1E293B"/>
          <w:sz w:val="19"/>
        </w:rPr>
        <w:t xml:space="preserve">Target Project: </w:t>
      </w:r>
      <w:r>
        <w:rPr>
          <w:rFonts w:ascii="Segoe UI" w:hAnsi="Segoe UI"/>
          <w:color w:val="334155"/>
          <w:sz w:val="19"/>
        </w:rPr>
        <w:t>Benue State IDEAS-TVET Technical Teacher Capacity Building Initiative</w:t>
      </w:r>
    </w:p>
    <w:p>
      <w:pPr>
        <w:pStyle w:val="ListBullet"/>
        <w:spacing w:before="40" w:after="60" w:line="276" w:lineRule="auto"/>
      </w:pPr>
      <w:r>
        <w:rPr>
          <w:rFonts w:ascii="Segoe UI" w:hAnsi="Segoe UI"/>
          <w:b/>
          <w:color w:val="1E293B"/>
          <w:sz w:val="19"/>
        </w:rPr>
        <w:t xml:space="preserve">Host Location: </w:t>
      </w:r>
      <w:r>
        <w:rPr>
          <w:rFonts w:ascii="Segoe UI" w:hAnsi="Segoe UI"/>
          <w:color w:val="334155"/>
          <w:sz w:val="19"/>
        </w:rPr>
        <w:t>Makurdi, Benue State, Nigeria</w:t>
      </w:r>
    </w:p>
    <w:p>
      <w:pPr>
        <w:pStyle w:val="ListBullet"/>
        <w:spacing w:before="40" w:after="60" w:line="276" w:lineRule="auto"/>
      </w:pPr>
      <w:r>
        <w:rPr>
          <w:rFonts w:ascii="Segoe UI" w:hAnsi="Segoe UI"/>
          <w:b/>
          <w:color w:val="1E293B"/>
          <w:sz w:val="19"/>
        </w:rPr>
        <w:t xml:space="preserve">Production Portal: </w:t>
      </w:r>
      <w:r>
        <w:rPr>
          <w:rFonts w:ascii="Segoe UI" w:hAnsi="Segoe UI"/>
          <w:color w:val="334155"/>
          <w:sz w:val="19"/>
        </w:rPr>
        <w:t>https://lms.gregicthub.com</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6"/>
      </w:rPr>
      <w:t>© 2026 Greg &amp; Co. ICT Ltd • Benue State IDEAS-TVET Project • https://lms.gregicthub.com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Greg ICT Hub LMS • TVET MCQ Examination &amp; Assessment Engine Operational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