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ID,Vulnerabilidad,Estado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VULN-001,Desbordamiento de búfer en módulo de autenticación,Pendiente de parche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VULN-002,Configuración insegura en servidor API (exposición de endpoints internos),Mitigada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VULN-003,Inyección SQL en formulario de login,En análisis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VULN-004,Token JWT sin expiración configurada,Resuelta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VULN-005,Falta de validación de entrada en servicio de archivos,Pendiente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