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598" w:rsidRDefault="00D74598" w:rsidP="00D74598">
      <w:pPr>
        <w:pStyle w:val="BodyText"/>
        <w:spacing w:line="360" w:lineRule="auto"/>
        <w:ind w:left="144" w:right="144"/>
        <w:rPr>
          <w:rStyle w:val="IntenseEmphasis1"/>
          <w:rFonts w:ascii="Garamond" w:hAnsi="Garamond"/>
          <w:color w:val="A74D0E"/>
          <w:sz w:val="20"/>
        </w:rPr>
      </w:pPr>
      <w:r>
        <w:rPr>
          <w:rStyle w:val="IntenseEmphasis1"/>
          <w:rFonts w:ascii="Garamond" w:hAnsi="Garamond"/>
          <w:color w:val="A74D0E"/>
          <w:sz w:val="20"/>
        </w:rPr>
        <w:t>The Consent for IVF will detail the following:</w:t>
      </w:r>
    </w:p>
    <w:p w:rsidR="00D74598" w:rsidRDefault="00D74598" w:rsidP="00D74598">
      <w:pPr>
        <w:pStyle w:val="BodyText"/>
        <w:spacing w:line="360" w:lineRule="auto"/>
        <w:ind w:left="144" w:right="144"/>
        <w:rPr>
          <w:rStyle w:val="IntenseEmphasis1"/>
          <w:rFonts w:ascii="Garamond" w:hAnsi="Garamond"/>
          <w:b w:val="0"/>
          <w:i w:val="0"/>
          <w:sz w:val="12"/>
          <w:szCs w:val="12"/>
        </w:rPr>
      </w:pPr>
    </w:p>
    <w:p w:rsidR="00D74598" w:rsidRDefault="00D74598" w:rsidP="00D74598">
      <w:pPr>
        <w:pStyle w:val="BodyText"/>
        <w:numPr>
          <w:ilvl w:val="0"/>
          <w:numId w:val="1"/>
        </w:numPr>
        <w:spacing w:line="360" w:lineRule="auto"/>
        <w:ind w:right="144"/>
        <w:rPr>
          <w:b/>
          <w:sz w:val="20"/>
        </w:rPr>
      </w:pPr>
      <w:r>
        <w:rPr>
          <w:rFonts w:ascii="Garamond" w:hAnsi="Garamond"/>
          <w:b/>
          <w:sz w:val="20"/>
        </w:rPr>
        <w:t>Technique of In Vitro Fertilization (IVF)</w:t>
      </w:r>
    </w:p>
    <w:p w:rsidR="00D74598" w:rsidRDefault="00D74598" w:rsidP="00D74598">
      <w:pPr>
        <w:pStyle w:val="BodyText"/>
        <w:numPr>
          <w:ilvl w:val="1"/>
          <w:numId w:val="1"/>
        </w:numPr>
        <w:spacing w:line="360" w:lineRule="auto"/>
        <w:ind w:right="144"/>
        <w:rPr>
          <w:rFonts w:ascii="Garamond" w:hAnsi="Garamond"/>
          <w:b/>
          <w:sz w:val="20"/>
        </w:rPr>
      </w:pPr>
      <w:r>
        <w:rPr>
          <w:rFonts w:ascii="Garamond" w:hAnsi="Garamond"/>
          <w:b/>
          <w:sz w:val="20"/>
        </w:rPr>
        <w:t xml:space="preserve">Core elements and their risk </w:t>
      </w:r>
    </w:p>
    <w:p w:rsidR="00D74598" w:rsidRDefault="00D74598" w:rsidP="00D74598">
      <w:pPr>
        <w:pStyle w:val="BodyText"/>
        <w:numPr>
          <w:ilvl w:val="0"/>
          <w:numId w:val="2"/>
        </w:numPr>
        <w:spacing w:line="360" w:lineRule="auto"/>
        <w:ind w:right="144"/>
        <w:rPr>
          <w:rFonts w:ascii="Garamond" w:hAnsi="Garamond"/>
          <w:b/>
          <w:sz w:val="20"/>
        </w:rPr>
      </w:pPr>
      <w:r>
        <w:rPr>
          <w:rFonts w:ascii="Garamond" w:hAnsi="Garamond"/>
          <w:b/>
          <w:sz w:val="20"/>
        </w:rPr>
        <w:t>Medications for IVF Treatment</w:t>
      </w:r>
    </w:p>
    <w:p w:rsidR="00D74598" w:rsidRDefault="00D74598" w:rsidP="00D74598">
      <w:pPr>
        <w:pStyle w:val="BodyText"/>
        <w:numPr>
          <w:ilvl w:val="0"/>
          <w:numId w:val="2"/>
        </w:numPr>
        <w:spacing w:line="360" w:lineRule="auto"/>
        <w:ind w:right="144"/>
        <w:rPr>
          <w:rFonts w:ascii="Garamond" w:hAnsi="Garamond"/>
          <w:b/>
          <w:sz w:val="20"/>
        </w:rPr>
      </w:pPr>
      <w:proofErr w:type="spellStart"/>
      <w:r>
        <w:rPr>
          <w:rFonts w:ascii="Garamond" w:hAnsi="Garamond"/>
          <w:b/>
          <w:sz w:val="20"/>
        </w:rPr>
        <w:t>Transvaginal</w:t>
      </w:r>
      <w:proofErr w:type="spellEnd"/>
      <w:r>
        <w:rPr>
          <w:rFonts w:ascii="Garamond" w:hAnsi="Garamond"/>
          <w:b/>
          <w:sz w:val="20"/>
        </w:rPr>
        <w:t xml:space="preserve"> Oocyte Retrieval</w:t>
      </w:r>
    </w:p>
    <w:p w:rsidR="00D74598" w:rsidRDefault="00D74598" w:rsidP="00D74598">
      <w:pPr>
        <w:pStyle w:val="BodyText"/>
        <w:numPr>
          <w:ilvl w:val="0"/>
          <w:numId w:val="2"/>
        </w:numPr>
        <w:spacing w:line="360" w:lineRule="auto"/>
        <w:ind w:right="144"/>
        <w:rPr>
          <w:rFonts w:ascii="Garamond" w:hAnsi="Garamond"/>
          <w:b/>
          <w:sz w:val="20"/>
        </w:rPr>
      </w:pPr>
      <w:r>
        <w:rPr>
          <w:rFonts w:ascii="Garamond" w:hAnsi="Garamond"/>
          <w:b/>
          <w:sz w:val="20"/>
        </w:rPr>
        <w:t>IVF and Embryo Culture</w:t>
      </w:r>
    </w:p>
    <w:p w:rsidR="00D74598" w:rsidRDefault="00D74598" w:rsidP="00D74598">
      <w:pPr>
        <w:pStyle w:val="BodyText"/>
        <w:numPr>
          <w:ilvl w:val="0"/>
          <w:numId w:val="2"/>
        </w:numPr>
        <w:spacing w:line="360" w:lineRule="auto"/>
        <w:ind w:right="144"/>
        <w:rPr>
          <w:rFonts w:ascii="Garamond" w:hAnsi="Garamond"/>
          <w:b/>
          <w:sz w:val="20"/>
        </w:rPr>
      </w:pPr>
      <w:r>
        <w:rPr>
          <w:rFonts w:ascii="Garamond" w:hAnsi="Garamond"/>
          <w:b/>
          <w:sz w:val="20"/>
        </w:rPr>
        <w:t>Embryo Transfer</w:t>
      </w:r>
    </w:p>
    <w:p w:rsidR="00D74598" w:rsidRDefault="00D74598" w:rsidP="00D74598">
      <w:pPr>
        <w:pStyle w:val="BodyText"/>
        <w:numPr>
          <w:ilvl w:val="0"/>
          <w:numId w:val="2"/>
        </w:numPr>
        <w:spacing w:line="360" w:lineRule="auto"/>
        <w:ind w:right="144"/>
        <w:rPr>
          <w:rFonts w:ascii="Garamond" w:hAnsi="Garamond"/>
          <w:b/>
          <w:sz w:val="20"/>
        </w:rPr>
      </w:pPr>
      <w:r>
        <w:rPr>
          <w:rFonts w:ascii="Garamond" w:hAnsi="Garamond"/>
          <w:b/>
          <w:sz w:val="20"/>
        </w:rPr>
        <w:t>Hormonal Support of the Uterine Lining</w:t>
      </w:r>
    </w:p>
    <w:p w:rsidR="00D74598" w:rsidRDefault="00D74598" w:rsidP="00D74598">
      <w:pPr>
        <w:pStyle w:val="BodyText"/>
        <w:numPr>
          <w:ilvl w:val="1"/>
          <w:numId w:val="1"/>
        </w:numPr>
        <w:spacing w:line="360" w:lineRule="auto"/>
        <w:ind w:right="144"/>
        <w:rPr>
          <w:rFonts w:ascii="Garamond" w:hAnsi="Garamond"/>
          <w:b/>
          <w:sz w:val="20"/>
        </w:rPr>
      </w:pPr>
      <w:r>
        <w:rPr>
          <w:rFonts w:ascii="Garamond" w:hAnsi="Garamond"/>
          <w:b/>
          <w:sz w:val="20"/>
        </w:rPr>
        <w:t>Additional elements and their risk</w:t>
      </w:r>
    </w:p>
    <w:p w:rsidR="00D74598" w:rsidRDefault="00D74598" w:rsidP="00D74598">
      <w:pPr>
        <w:pStyle w:val="BodyText"/>
        <w:numPr>
          <w:ilvl w:val="0"/>
          <w:numId w:val="3"/>
        </w:numPr>
        <w:spacing w:line="360" w:lineRule="auto"/>
        <w:rPr>
          <w:rFonts w:ascii="Garamond" w:hAnsi="Garamond"/>
          <w:b/>
          <w:sz w:val="20"/>
        </w:rPr>
      </w:pPr>
      <w:proofErr w:type="spellStart"/>
      <w:r>
        <w:rPr>
          <w:rFonts w:ascii="Garamond" w:hAnsi="Garamond"/>
          <w:b/>
          <w:sz w:val="20"/>
        </w:rPr>
        <w:t>Intracytoplasmic</w:t>
      </w:r>
      <w:proofErr w:type="spellEnd"/>
      <w:r>
        <w:rPr>
          <w:rFonts w:ascii="Garamond" w:hAnsi="Garamond"/>
          <w:b/>
          <w:sz w:val="20"/>
        </w:rPr>
        <w:t xml:space="preserve"> Sperm Injection (ICSI)</w:t>
      </w:r>
    </w:p>
    <w:p w:rsidR="00D74598" w:rsidRDefault="00D74598" w:rsidP="00D74598">
      <w:pPr>
        <w:pStyle w:val="BodyText"/>
        <w:numPr>
          <w:ilvl w:val="0"/>
          <w:numId w:val="3"/>
        </w:numPr>
        <w:spacing w:line="360" w:lineRule="auto"/>
        <w:rPr>
          <w:rFonts w:ascii="Garamond" w:hAnsi="Garamond"/>
          <w:b/>
          <w:sz w:val="20"/>
        </w:rPr>
      </w:pPr>
      <w:r>
        <w:rPr>
          <w:rFonts w:ascii="Garamond" w:hAnsi="Garamond"/>
          <w:b/>
          <w:sz w:val="20"/>
        </w:rPr>
        <w:t xml:space="preserve">Assisted Hatching </w:t>
      </w:r>
    </w:p>
    <w:p w:rsidR="00D74598" w:rsidRDefault="00D74598" w:rsidP="00D74598">
      <w:pPr>
        <w:pStyle w:val="BodyText"/>
        <w:numPr>
          <w:ilvl w:val="0"/>
          <w:numId w:val="3"/>
        </w:numPr>
        <w:spacing w:line="360" w:lineRule="auto"/>
        <w:ind w:right="0"/>
        <w:rPr>
          <w:rFonts w:ascii="Garamond" w:hAnsi="Garamond"/>
          <w:b/>
          <w:sz w:val="20"/>
        </w:rPr>
      </w:pPr>
      <w:r>
        <w:rPr>
          <w:rFonts w:ascii="Garamond" w:hAnsi="Garamond"/>
          <w:b/>
          <w:sz w:val="20"/>
        </w:rPr>
        <w:t>Embryo Disposition</w:t>
      </w:r>
    </w:p>
    <w:p w:rsidR="00D74598" w:rsidRDefault="00D74598" w:rsidP="00D74598">
      <w:pPr>
        <w:pStyle w:val="BodyText"/>
        <w:numPr>
          <w:ilvl w:val="0"/>
          <w:numId w:val="3"/>
        </w:numPr>
        <w:spacing w:line="360" w:lineRule="auto"/>
        <w:ind w:right="0"/>
        <w:rPr>
          <w:rFonts w:ascii="Garamond" w:hAnsi="Garamond"/>
          <w:b/>
          <w:sz w:val="20"/>
        </w:rPr>
      </w:pPr>
      <w:r>
        <w:rPr>
          <w:rFonts w:ascii="Garamond" w:hAnsi="Garamond"/>
          <w:b/>
          <w:sz w:val="20"/>
        </w:rPr>
        <w:t>Cryopreserved Embryo Storage</w:t>
      </w:r>
    </w:p>
    <w:p w:rsidR="00D74598" w:rsidRDefault="00D74598" w:rsidP="00D74598">
      <w:pPr>
        <w:pStyle w:val="BodyText"/>
        <w:numPr>
          <w:ilvl w:val="0"/>
          <w:numId w:val="3"/>
        </w:numPr>
        <w:spacing w:line="360" w:lineRule="auto"/>
        <w:ind w:right="0"/>
        <w:rPr>
          <w:rFonts w:ascii="Garamond" w:hAnsi="Garamond"/>
          <w:b/>
          <w:sz w:val="20"/>
        </w:rPr>
      </w:pPr>
      <w:r>
        <w:rPr>
          <w:rFonts w:ascii="Garamond" w:hAnsi="Garamond"/>
          <w:b/>
          <w:sz w:val="20"/>
        </w:rPr>
        <w:t>Donated or Research Embryo Fate</w:t>
      </w:r>
    </w:p>
    <w:p w:rsidR="00D74598" w:rsidRDefault="00D74598" w:rsidP="00D74598">
      <w:pPr>
        <w:pStyle w:val="BodyText"/>
        <w:numPr>
          <w:ilvl w:val="0"/>
          <w:numId w:val="1"/>
        </w:numPr>
        <w:spacing w:line="360" w:lineRule="auto"/>
        <w:ind w:right="144"/>
        <w:rPr>
          <w:rFonts w:ascii="Garamond" w:hAnsi="Garamond"/>
          <w:b/>
          <w:sz w:val="20"/>
        </w:rPr>
      </w:pPr>
      <w:r>
        <w:rPr>
          <w:rFonts w:ascii="Garamond" w:hAnsi="Garamond"/>
          <w:b/>
          <w:sz w:val="20"/>
        </w:rPr>
        <w:t xml:space="preserve">Risks to the Woman </w:t>
      </w:r>
    </w:p>
    <w:p w:rsidR="00D74598" w:rsidRDefault="00D74598" w:rsidP="00D74598">
      <w:pPr>
        <w:pStyle w:val="BodyText"/>
        <w:numPr>
          <w:ilvl w:val="1"/>
          <w:numId w:val="1"/>
        </w:numPr>
        <w:spacing w:line="360" w:lineRule="auto"/>
        <w:ind w:right="144"/>
        <w:rPr>
          <w:rFonts w:ascii="Garamond" w:hAnsi="Garamond"/>
          <w:b/>
          <w:sz w:val="20"/>
        </w:rPr>
      </w:pPr>
      <w:r>
        <w:rPr>
          <w:rFonts w:ascii="Garamond" w:hAnsi="Garamond"/>
          <w:b/>
          <w:sz w:val="20"/>
        </w:rPr>
        <w:t xml:space="preserve">Ovarian </w:t>
      </w:r>
      <w:proofErr w:type="spellStart"/>
      <w:r>
        <w:rPr>
          <w:rFonts w:ascii="Garamond" w:hAnsi="Garamond"/>
          <w:b/>
          <w:sz w:val="20"/>
        </w:rPr>
        <w:t>Hyperstimulation</w:t>
      </w:r>
      <w:proofErr w:type="spellEnd"/>
      <w:r>
        <w:rPr>
          <w:rFonts w:ascii="Garamond" w:hAnsi="Garamond"/>
          <w:b/>
          <w:sz w:val="20"/>
        </w:rPr>
        <w:t xml:space="preserve"> Syndrome</w:t>
      </w:r>
    </w:p>
    <w:p w:rsidR="00D74598" w:rsidRDefault="00D74598" w:rsidP="00D74598">
      <w:pPr>
        <w:pStyle w:val="BodyText"/>
        <w:numPr>
          <w:ilvl w:val="1"/>
          <w:numId w:val="1"/>
        </w:numPr>
        <w:spacing w:line="360" w:lineRule="auto"/>
        <w:ind w:right="144"/>
        <w:rPr>
          <w:rFonts w:ascii="Garamond" w:hAnsi="Garamond"/>
          <w:b/>
          <w:sz w:val="20"/>
        </w:rPr>
      </w:pPr>
      <w:r>
        <w:rPr>
          <w:rFonts w:ascii="Garamond" w:hAnsi="Garamond"/>
          <w:b/>
          <w:sz w:val="20"/>
        </w:rPr>
        <w:t xml:space="preserve">Cancer </w:t>
      </w:r>
    </w:p>
    <w:p w:rsidR="00D74598" w:rsidRDefault="00D74598" w:rsidP="00D74598">
      <w:pPr>
        <w:pStyle w:val="BodyText"/>
        <w:numPr>
          <w:ilvl w:val="1"/>
          <w:numId w:val="1"/>
        </w:numPr>
        <w:spacing w:line="360" w:lineRule="auto"/>
        <w:ind w:right="144"/>
        <w:rPr>
          <w:rFonts w:ascii="Garamond" w:hAnsi="Garamond"/>
          <w:b/>
          <w:sz w:val="20"/>
        </w:rPr>
      </w:pPr>
      <w:r>
        <w:rPr>
          <w:rFonts w:ascii="Garamond" w:hAnsi="Garamond"/>
          <w:b/>
          <w:sz w:val="20"/>
        </w:rPr>
        <w:t xml:space="preserve">Risks of Pregnancy </w:t>
      </w:r>
    </w:p>
    <w:p w:rsidR="00D74598" w:rsidRDefault="00D74598" w:rsidP="00D74598">
      <w:pPr>
        <w:pStyle w:val="BodyText"/>
        <w:numPr>
          <w:ilvl w:val="0"/>
          <w:numId w:val="1"/>
        </w:numPr>
        <w:spacing w:line="360" w:lineRule="auto"/>
        <w:ind w:right="144"/>
        <w:rPr>
          <w:rFonts w:ascii="Garamond" w:hAnsi="Garamond"/>
          <w:b/>
          <w:sz w:val="20"/>
        </w:rPr>
      </w:pPr>
      <w:r>
        <w:rPr>
          <w:rFonts w:ascii="Garamond" w:hAnsi="Garamond"/>
          <w:b/>
          <w:sz w:val="20"/>
        </w:rPr>
        <w:t>Risks to Offspring   </w:t>
      </w:r>
    </w:p>
    <w:p w:rsidR="00D74598" w:rsidRDefault="00D74598" w:rsidP="00D74598">
      <w:pPr>
        <w:pStyle w:val="BodyText"/>
        <w:numPr>
          <w:ilvl w:val="1"/>
          <w:numId w:val="1"/>
        </w:numPr>
        <w:spacing w:line="360" w:lineRule="auto"/>
        <w:ind w:right="144"/>
        <w:rPr>
          <w:rFonts w:ascii="Garamond" w:hAnsi="Garamond"/>
          <w:b/>
          <w:sz w:val="20"/>
        </w:rPr>
      </w:pPr>
      <w:r>
        <w:rPr>
          <w:rFonts w:ascii="Garamond" w:hAnsi="Garamond"/>
          <w:b/>
          <w:sz w:val="20"/>
        </w:rPr>
        <w:t xml:space="preserve">Overall Risks </w:t>
      </w:r>
    </w:p>
    <w:p w:rsidR="00D74598" w:rsidRDefault="00D74598" w:rsidP="00D74598">
      <w:pPr>
        <w:pStyle w:val="BodyText"/>
        <w:numPr>
          <w:ilvl w:val="1"/>
          <w:numId w:val="1"/>
        </w:numPr>
        <w:spacing w:line="360" w:lineRule="auto"/>
        <w:ind w:right="144"/>
        <w:rPr>
          <w:rFonts w:ascii="Garamond" w:hAnsi="Garamond"/>
          <w:b/>
          <w:sz w:val="20"/>
        </w:rPr>
      </w:pPr>
      <w:r>
        <w:rPr>
          <w:rFonts w:ascii="Garamond" w:hAnsi="Garamond"/>
          <w:b/>
          <w:sz w:val="20"/>
        </w:rPr>
        <w:t xml:space="preserve">Birth Defects </w:t>
      </w:r>
    </w:p>
    <w:p w:rsidR="00D74598" w:rsidRDefault="00D74598" w:rsidP="00D74598">
      <w:pPr>
        <w:pStyle w:val="BodyText"/>
        <w:numPr>
          <w:ilvl w:val="1"/>
          <w:numId w:val="1"/>
        </w:numPr>
        <w:spacing w:line="360" w:lineRule="auto"/>
        <w:ind w:right="144"/>
        <w:rPr>
          <w:rFonts w:ascii="Garamond" w:hAnsi="Garamond"/>
          <w:b/>
          <w:sz w:val="20"/>
        </w:rPr>
      </w:pPr>
      <w:r>
        <w:rPr>
          <w:rFonts w:ascii="Garamond" w:hAnsi="Garamond"/>
          <w:b/>
          <w:sz w:val="20"/>
        </w:rPr>
        <w:t xml:space="preserve">Risks of Multiple Pregnancy </w:t>
      </w:r>
    </w:p>
    <w:p w:rsidR="00D74598" w:rsidRDefault="00D74598" w:rsidP="00D74598">
      <w:pPr>
        <w:pStyle w:val="BodyText"/>
        <w:numPr>
          <w:ilvl w:val="0"/>
          <w:numId w:val="1"/>
        </w:numPr>
        <w:spacing w:line="360" w:lineRule="auto"/>
        <w:ind w:right="144"/>
        <w:rPr>
          <w:rFonts w:ascii="Garamond" w:hAnsi="Garamond"/>
          <w:b/>
          <w:sz w:val="20"/>
        </w:rPr>
      </w:pPr>
      <w:r>
        <w:rPr>
          <w:rFonts w:ascii="Garamond" w:hAnsi="Garamond"/>
          <w:b/>
          <w:sz w:val="20"/>
        </w:rPr>
        <w:t xml:space="preserve">Ethical and Religious Considerations in Infertility Treatment </w:t>
      </w:r>
    </w:p>
    <w:p w:rsidR="00D74598" w:rsidRDefault="00D74598" w:rsidP="00D74598">
      <w:pPr>
        <w:pStyle w:val="BodyText"/>
        <w:numPr>
          <w:ilvl w:val="0"/>
          <w:numId w:val="1"/>
        </w:numPr>
        <w:spacing w:line="360" w:lineRule="auto"/>
        <w:ind w:right="144"/>
        <w:rPr>
          <w:rFonts w:ascii="Garamond" w:hAnsi="Garamond"/>
          <w:b/>
          <w:sz w:val="20"/>
        </w:rPr>
      </w:pPr>
      <w:r>
        <w:rPr>
          <w:rFonts w:ascii="Garamond" w:hAnsi="Garamond"/>
          <w:b/>
          <w:sz w:val="20"/>
        </w:rPr>
        <w:t xml:space="preserve">Psychosocial Effects of Infertility Treatment </w:t>
      </w:r>
    </w:p>
    <w:p w:rsidR="00D74598" w:rsidRDefault="00D74598" w:rsidP="00D74598">
      <w:pPr>
        <w:pStyle w:val="BodyText"/>
        <w:numPr>
          <w:ilvl w:val="0"/>
          <w:numId w:val="1"/>
        </w:numPr>
        <w:spacing w:line="360" w:lineRule="auto"/>
        <w:ind w:right="144"/>
        <w:rPr>
          <w:rFonts w:ascii="Garamond" w:hAnsi="Garamond"/>
          <w:b/>
          <w:sz w:val="20"/>
        </w:rPr>
      </w:pPr>
      <w:r>
        <w:rPr>
          <w:rFonts w:ascii="Garamond" w:hAnsi="Garamond"/>
          <w:b/>
          <w:sz w:val="20"/>
        </w:rPr>
        <w:t xml:space="preserve">Legal Considerations to Offspring </w:t>
      </w:r>
    </w:p>
    <w:p w:rsidR="00D74598" w:rsidRDefault="00D74598" w:rsidP="00D74598">
      <w:pPr>
        <w:pStyle w:val="BodyText"/>
        <w:numPr>
          <w:ilvl w:val="0"/>
          <w:numId w:val="1"/>
        </w:numPr>
        <w:spacing w:line="360" w:lineRule="auto"/>
        <w:ind w:right="144"/>
        <w:rPr>
          <w:rFonts w:ascii="Garamond" w:hAnsi="Garamond"/>
          <w:b/>
          <w:sz w:val="20"/>
        </w:rPr>
      </w:pPr>
      <w:r>
        <w:rPr>
          <w:rFonts w:ascii="Garamond" w:hAnsi="Garamond"/>
          <w:b/>
          <w:sz w:val="20"/>
        </w:rPr>
        <w:t>Alternatives to IVF</w:t>
      </w:r>
    </w:p>
    <w:p w:rsidR="00D74598" w:rsidRDefault="00D74598" w:rsidP="00D74598">
      <w:pPr>
        <w:pStyle w:val="BodyText"/>
        <w:numPr>
          <w:ilvl w:val="0"/>
          <w:numId w:val="1"/>
        </w:numPr>
        <w:spacing w:line="360" w:lineRule="auto"/>
        <w:ind w:right="144"/>
        <w:rPr>
          <w:rFonts w:ascii="Garamond" w:hAnsi="Garamond"/>
          <w:b/>
          <w:sz w:val="20"/>
        </w:rPr>
      </w:pPr>
      <w:r>
        <w:rPr>
          <w:rFonts w:ascii="Garamond" w:hAnsi="Garamond"/>
          <w:b/>
          <w:sz w:val="20"/>
        </w:rPr>
        <w:t>Reporting Outcomes</w:t>
      </w:r>
    </w:p>
    <w:p w:rsidR="00D74598" w:rsidRDefault="00D74598" w:rsidP="00D74598">
      <w:pPr>
        <w:pStyle w:val="BodyText"/>
        <w:numPr>
          <w:ilvl w:val="0"/>
          <w:numId w:val="1"/>
        </w:numPr>
        <w:spacing w:line="360" w:lineRule="auto"/>
        <w:ind w:right="144"/>
        <w:rPr>
          <w:rFonts w:ascii="Garamond" w:hAnsi="Garamond"/>
          <w:b/>
          <w:sz w:val="20"/>
        </w:rPr>
      </w:pPr>
      <w:r>
        <w:rPr>
          <w:rFonts w:ascii="Garamond" w:hAnsi="Garamond"/>
          <w:b/>
          <w:sz w:val="20"/>
        </w:rPr>
        <w:t>Financial</w:t>
      </w:r>
    </w:p>
    <w:p w:rsidR="00225FF1" w:rsidRDefault="00225FF1">
      <w:bookmarkStart w:id="0" w:name="_GoBack"/>
      <w:bookmarkEnd w:id="0"/>
    </w:p>
    <w:sectPr w:rsidR="00225FF1" w:rsidSect="001558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2109D"/>
    <w:multiLevelType w:val="hybridMultilevel"/>
    <w:tmpl w:val="0F58EA3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F1E0861"/>
    <w:multiLevelType w:val="hybridMultilevel"/>
    <w:tmpl w:val="3C9EDA8C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4CEB0789"/>
    <w:multiLevelType w:val="hybridMultilevel"/>
    <w:tmpl w:val="84621ED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E222E3D6">
      <w:start w:val="1"/>
      <w:numFmt w:val="decimal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598"/>
    <w:rsid w:val="001558E9"/>
    <w:rsid w:val="00225FF1"/>
    <w:rsid w:val="00D7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BF0E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D74598"/>
    <w:pPr>
      <w:ind w:left="1296" w:right="288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D74598"/>
    <w:rPr>
      <w:rFonts w:ascii="Times New Roman" w:eastAsia="Times New Roman" w:hAnsi="Times New Roman" w:cs="Times New Roman"/>
      <w:szCs w:val="20"/>
    </w:rPr>
  </w:style>
  <w:style w:type="character" w:customStyle="1" w:styleId="IntenseEmphasis1">
    <w:name w:val="Intense Emphasis1"/>
    <w:qFormat/>
    <w:rsid w:val="00D74598"/>
    <w:rPr>
      <w:rFonts w:ascii="Calibri" w:hAnsi="Calibri" w:hint="default"/>
      <w:b/>
      <w:bCs/>
      <w:i/>
      <w:iCs/>
      <w:color w:val="4F81BD"/>
      <w:sz w:val="28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D74598"/>
    <w:pPr>
      <w:ind w:left="1296" w:right="288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D74598"/>
    <w:rPr>
      <w:rFonts w:ascii="Times New Roman" w:eastAsia="Times New Roman" w:hAnsi="Times New Roman" w:cs="Times New Roman"/>
      <w:szCs w:val="20"/>
    </w:rPr>
  </w:style>
  <w:style w:type="character" w:customStyle="1" w:styleId="IntenseEmphasis1">
    <w:name w:val="Intense Emphasis1"/>
    <w:qFormat/>
    <w:rsid w:val="00D74598"/>
    <w:rPr>
      <w:rFonts w:ascii="Calibri" w:hAnsi="Calibri" w:hint="default"/>
      <w:b/>
      <w:bCs/>
      <w:i/>
      <w:iCs/>
      <w:color w:val="4F81BD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673</Characters>
  <Application>Microsoft Macintosh Word</Application>
  <DocSecurity>0</DocSecurity>
  <Lines>5</Lines>
  <Paragraphs>1</Paragraphs>
  <ScaleCrop>false</ScaleCrop>
  <Company>University of California Davis</Company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Shahin</dc:creator>
  <cp:keywords/>
  <dc:description/>
  <cp:lastModifiedBy>Maryam Shahin</cp:lastModifiedBy>
  <cp:revision>1</cp:revision>
  <dcterms:created xsi:type="dcterms:W3CDTF">2015-03-30T16:00:00Z</dcterms:created>
  <dcterms:modified xsi:type="dcterms:W3CDTF">2015-03-30T16:00:00Z</dcterms:modified>
</cp:coreProperties>
</file>