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b/>
          <w:bCs/>
        </w:rPr>
        <w:t xml:space="preserve">SELENITE PROGRAMME</w:t>
      </w:r>
    </w:p>
    <w:p>
      <w:pPr>
        <w:spacing w:after="60" w:before="0"/>
        <w:jc w:val="center"/>
      </w:pPr>
      <w:r>
        <w:rPr>
          <w:b/>
          <w:bCs/>
        </w:rPr>
        <w:t xml:space="preserve">Robotic Fleet Engineering Specifications</w:t>
      </w:r>
    </w:p>
    <w:p>
      <w:pPr>
        <w:spacing w:after="60" w:before="0"/>
        <w:jc w:val="center"/>
      </w:pPr>
      <w:r>
        <w:rPr>
          <w:i/>
          <w:iCs/>
        </w:rPr>
        <w:t xml:space="preserve">v9.0 — All ECNs Applied (ECN-012 through ECN-019 Rev C)</w:t>
      </w:r>
    </w:p>
    <w:p>
      <w:pPr>
        <w:spacing w:after="200" w:before="0"/>
        <w:jc w:val="center"/>
      </w:pPr>
      <w:r>
        <w:rPr>
          <w:i/>
          <w:iCs/>
        </w:rPr>
        <w:t xml:space="preserve">200-Year Programme Architecture — 2.5 Mt/yr REO Committed Target</w:t>
      </w:r>
    </w:p>
    <w:p>
      <w:pPr>
        <w:spacing w:after="120" w:before="0"/>
      </w:pPr>
      <w:r>
        <w:t xml:space="preserve">REF: SEL_ROBOT_FLEET v8 + ECN-012/013/014/015/016/017/019. Lead: Jason (Systems Engineering). Status: DRAFT. April 2026.</w:t>
      </w:r>
    </w:p>
    <w:p>
      <w:pPr>
        <w:spacing w:after="120" w:before="0"/>
      </w:pPr>
      <w:r>
        <w:t xml:space="preserve"/>
      </w:r>
    </w:p>
    <w:p>
      <w:pPr>
        <w:spacing w:after="120" w:before="0"/>
      </w:pPr>
      <w:r>
        <w:rPr>
          <w:i/>
          <w:iCs/>
        </w:rPr>
        <w:t xml:space="preserve">This document supersedes SEL_ROBOT_FLEET v8 and all ECN amendments (ECN-012 through ECN-017). It incorporates ECN-019 Rev C programme-wide design revision including: demand-driven MOLE-I scaling, SKIP retirement at P9, PROBE Mk III SEP architecture, mining-capable hauler at P8, steel conveyor replacement of EM catapults, base specialisation (SPA = asteroid hub, PKT = KREEP only), diversified asteroid captures (M/C/S-type), 2.5 Mt/yr committed REO target, optimised processing circuits (1.2 t/yr), and P14+ Earth independence vision.</w:t>
      </w:r>
    </w:p>
    <w:p>
      <w:pPr>
        <w:pStyle w:val="Heading1"/>
        <w:spacing w:after="120" w:before="0"/>
      </w:pPr>
      <w:r>
        <w:t xml:space="preserve">1. Fleet Overview</w:t>
      </w:r>
    </w:p>
    <w:p>
      <w:pPr>
        <w:spacing w:after="120" w:before="0"/>
      </w:pPr>
      <w:r>
        <w:t xml:space="preserve">The Selenite robotic fleet comprises twelve distinct vehicle classes across three categories: autonomous surface/orbital vehicles, fixed infrastructure systems, and construction fleet. SPA vehicles are Earth-manufactured throughout. PKT vehicles transition to ~57% in-situ manufacture from P10. All fleet counts are demand-driven from REO production targets via the derivation chain in SEL-ECON-001 Rev A.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2800"/>
        <w:gridCol w:w="800"/>
        <w:gridCol w:w="1000"/>
        <w:gridCol w:w="1160"/>
      </w:tblGrid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Class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 Role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Base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Initial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Peak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PROBE Mk I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Spacecraft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Round-trip Ni-Fe/PGM return (chemical)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SPA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96 (P8)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PROBE Mk II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Spacecraft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Heavy asteroid processor, in-situ beneficiation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SPA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260 (P11)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PROBE Mk III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Spacecraft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Ion SEP, never lands, EM anchoring, bulk mining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SPA orbit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1,714 (P11–P12)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MOLE-S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Surface rover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Rim/surface excavation &amp; construction (SPA ONLY)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SPA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MOLE-I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PSR rover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Shackleton crater ice extraction (PSR-permanent)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SPA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355→~50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SINTER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Construction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Regolith sintering &amp; base construction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Both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200+ (P12)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SURVEY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Prospector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Geological mapping (surface + orbital)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SPA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SKIP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Sub-orbital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SPA Basin KREEP collection (RETIRED P9)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SPA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 (P7–P8)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DART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Orbital transfer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PKT collector via LLO (pathfinder)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SPA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ARM-C / ARM-D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Manipulator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Construction, docking, cargo, maintenance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Both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200+ (P12)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SENTINEL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Inspection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Structural validation, fleet monitoring, safety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Both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4,000+ (P12)</w:t>
            </w:r>
          </w:p>
        </w:tc>
      </w:tr>
      <w:tr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Hauler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Surface vehicle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PKT mining, transport, grading, trenching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PKT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1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1,488,096 (P12)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0"/>
      </w:pPr>
      <w:r>
        <w:rPr>
          <w:i/>
          <w:iCs/>
        </w:rPr>
        <w:t xml:space="preserve">★ Key architectural constraints: (1) NO SKIPs AT PKT — EVER. (2) MOLE-S deploys to SPA ONLY. (3) Haulers are PKT-only. (4) PKT is fully autonomous (zero permanent crew). (5) PROBEs base permanently at SPA (propellant constraint). (6) All asteroid processing at SPA (not PKT).</w:t>
      </w:r>
    </w:p>
    <w:p>
      <w:r>
        <w:br w:type="page"/>
      </w:r>
    </w:p>
    <w:p>
      <w:pPr>
        <w:pStyle w:val="Heading1"/>
        <w:spacing w:after="120" w:before="0"/>
      </w:pPr>
      <w:r>
        <w:t xml:space="preserve">2. PROBE Fleet Lifecycle — Mk I / II / III</w:t>
      </w:r>
    </w:p>
    <w:p>
      <w:pPr>
        <w:pStyle w:val="Heading2"/>
        <w:spacing w:after="120" w:before="0"/>
      </w:pPr>
      <w:r>
        <w:t xml:space="preserve">2.1 Mk Classification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900"/>
        <w:gridCol w:w="900"/>
        <w:gridCol w:w="1100"/>
        <w:gridCol w:w="700"/>
        <w:gridCol w:w="700"/>
        <w:gridCol w:w="3060"/>
      </w:tblGrid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Class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Era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Fleet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Propulsion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Lands?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Miss/yr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Mk I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P5–P8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30↖96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Chemical LH₂/LOX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 (IZ)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Basic scraper collection; 1,500 kg Fe-Ni/PGM per mission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Mk II Heavy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P9–P11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190→260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Chemical LH₂/LOX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 (IZ)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In-situ beneficiation on asteroid (500 t processed, 10 t returned, ~17.5 kg PGM/mission)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Mk I/II phase‑down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P11+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260→50→30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Chemical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Yes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Specialist SPA short-range ops only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Mk III SEP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P11+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0→1,714→300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Ion (Xe/Ar)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NEVER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0.5</w:t>
            </w:r>
          </w:p>
        </w:tc>
        <w:tc>
          <w:tcPr>
            <w:tcW w:type="dxa" w:w="30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Bulk remote mining → prospecting after all captures complete (Y115+)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0"/>
      </w:pPr>
      <w:r>
        <w:t xml:space="preserve">2.2 Mk III SEP Architecture (DG-11.6)</w:t>
      </w:r>
    </w:p>
    <w:p>
      <w:pPr>
        <w:spacing w:after="120" w:before="0"/>
      </w:pPr>
      <w:r>
        <w:t xml:space="preserve">Ion propulsion (xenon/argon). ~1,200 kg dry. Never lands on the Moon — stays in orbit permanently. Ejects 10 t Fe-Ni/PGM payload canisters from LLO on ballistic deorbit trajectory. EM catcher at SPA receives at ~1,680 m/s (same YBCO coil technology as mass drivers, run in reverse). Electromagnetic anchoring on M-type asteroid Fe-Ni surface — no harpoons, no drills. Heritage: Northrop Grumman MEV-1 (2020).</w:t>
      </w:r>
    </w:p>
    <w:p>
      <w:pPr>
        <w:pStyle w:val="Heading2"/>
        <w:spacing w:after="120" w:before="0"/>
      </w:pPr>
      <w:r>
        <w:t xml:space="preserve">2.3 Fleet Phasedown and Propellant Cascade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1500"/>
        <w:gridCol w:w="1400"/>
        <w:gridCol w:w="2760"/>
      </w:tblGrid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Year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Mk I/II fleet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Mk III fleet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MOLE-I needed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Y45 (P10)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~280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Peak chemical PROBE demand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Y60 (P11 start)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~320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Mk III build-out begins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Y80 (P11 end)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~1,714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~190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Mk I/II phasedown near complete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Y85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~1,714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~50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Mk III at full scale; chemical fleet minimal</w:t>
            </w:r>
          </w:p>
        </w:tc>
      </w:tr>
      <w:tr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Y115+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1,714→300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~50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3 asteroid captures complete; Mk III prospecting only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>Mk III uses ZERO ISRU propellant (ion drive). MOLE-I fleet drops from ~355 peak to ~50 from Y85. Decommissioned Mk I/II salvaged at SPA (~184 t Fe-Ni, motors, electronics recovered).</w:t>
      </w:r>
    </w:p>
    <w:p>
      <w:pPr>
        <w:pStyle w:val="Heading2"/>
        <w:spacing w:after="120" w:before="0"/>
      </w:pPr>
      <w:r>
        <w:t xml:space="preserve">2.4 Captured Asteroids vs PROBEs</w:t>
      </w:r>
    </w:p>
    <w:p>
      <w:pPr>
        <w:spacing w:after="120" w:before="0"/>
      </w:pPr>
      <w:r>
        <w:t xml:space="preserve">Captured asteroids do NOT use PROBEs. They have dedicated permanent infrastructure: Laser Ablation Truss (~350 MW, 1,000 t/day, spiral surface ablation) + mass driver MD-5 (DRO→SPA, ~800 m/s). PROBEs are for remote uncaptured asteroids only. The two systems are architecturally independent.</w:t>
      </w:r>
    </w:p>
    <w:p>
      <w:r>
        <w:br w:type="page"/>
      </w:r>
    </w:p>
    <w:p>
      <w:pPr>
        <w:pStyle w:val="Heading1"/>
        <w:spacing w:after="120" w:before="0"/>
      </w:pPr>
      <w:r>
        <w:t xml:space="preserve">3. MOLE-S — Surface Excavation Rover (SPA Only)</w:t>
      </w:r>
    </w:p>
    <w:p>
      <w:pPr>
        <w:spacing w:after="120" w:before="0"/>
      </w:pPr>
      <w:r>
        <w:t xml:space="preserve">MOLE-S deploys to SPA ONLY. Not deployed to PKT under any circumstance. At PKT, all excavation, grading, trenching, and material handling is performed by mining-capable haulers (SEL-HAULER-001 Rev B).</w:t>
      </w:r>
    </w:p>
    <w:p>
      <w:pPr>
        <w:spacing w:after="120" w:before="0"/>
      </w:pPr>
      <w:r>
        <w:t xml:space="preserve">Specification unchanged from v8 §3. ~350 kg dry, dual counterrotating bucket drums (RASSOR heritage), 50 kg/hr, 6-wheel rocker-bogie, 5,000 Wh Li-ion. Fleet: 4 (P3) → 6 (P7+), constant thereafter. Roles: crater rim construction, surface regolith supply to SINTER, site levelling, landing pad preparation.</w:t>
      </w:r>
    </w:p>
    <w:p>
      <w:pPr>
        <w:pStyle w:val="Heading1"/>
        <w:spacing w:after="120" w:before="0"/>
      </w:pPr>
      <w:r>
        <w:t xml:space="preserve">4. MOLE-I — PSR Ice Extraction (Demand-Driven Scaling)</w:t>
      </w:r>
    </w:p>
    <w:p>
      <w:pPr>
        <w:spacing w:after="120" w:before="0"/>
      </w:pPr>
      <w:r>
        <w:t xml:space="preserve">Specification unchanged from v8 §4 + ECN-012/013. ~360 kg dry, tethered PSR operations, mini-VEX integrated, 5,692 kg/yr propellant per unit, 1,934 W tether draw, WEB thermal enclosure at 273 K, permanent PSR residence.</w:t>
      </w:r>
    </w:p>
    <w:p>
      <w:pPr>
        <w:pStyle w:val="Heading2"/>
        <w:spacing w:after="120" w:before="0"/>
      </w:pPr>
      <w:r>
        <w:t xml:space="preserve">4.1 Demand-Driven Scaling (Corrected)</w:t>
      </w:r>
    </w:p>
    <w:p>
      <w:pPr>
        <w:spacing w:after="120" w:before="0"/>
      </w:pPr>
      <w:r>
        <w:t xml:space="preserve">Previous SELENITE_SCALE v1.3 specified 48,990 (P8) and 390,790 (P9) MOLE-I. </w:t>
      </w:r>
      <w:r>
        <w:rPr>
          <w:b/>
          <w:bCs/>
        </w:rPr>
        <w:t xml:space="preserve">These figures are eliminated. </w:t>
      </w:r>
      <w:r>
        <w:t xml:space="preserve">They were driven by chemical tanker flights SPA→PKT to fuel PKT-based SKIPs. This architecture is eliminated by ECN-019 (mass driver at P8, no SKIPs at PKT). The Shackleton crater floor accommodates ~310 MOLE-I maximum (~62 substations on ~8.5 km² usable area). The P9 figure exceeded total PSR capacity by ~10×.</w:t>
      </w:r>
    </w:p>
    <w:p>
      <w:pPr>
        <w:pStyle w:val="Heading2"/>
        <w:spacing w:after="120" w:before="0"/>
      </w:pPr>
      <w:r>
        <w:t xml:space="preserve">4.2 Revised Scaling Table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00"/>
        <w:gridCol w:w="700"/>
        <w:gridCol w:w="800"/>
        <w:gridCol w:w="1200"/>
        <w:gridCol w:w="900"/>
        <w:gridCol w:w="900"/>
        <w:gridCol w:w="900"/>
        <w:gridCol w:w="1560"/>
      </w:tblGrid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Years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MOLE-I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PROBEs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SKIP (SPA)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Supply t/yr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Demand t/yr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Margin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P3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Y4–7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56.9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Stockpile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Accumulation phase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P4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Y7–9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142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124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+14.7%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Crew arrival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P5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Y9–12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285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238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+19.6%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DART begins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P6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Y12–15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85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484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434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+11.5%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Processing online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P7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Y18–25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968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868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+11.5%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Peak SKIP fleet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P8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Y25–35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~247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1,406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1,403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+0.2%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Mass driver online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P9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Y35–45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~240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~190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 (retired)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1,367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1,364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+0.2%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SKIPs retired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Y45–60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~280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~230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1,594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1,630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−2.3%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 Gerlache ext.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Y60–80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~320→~50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260→30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1,822→285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1,830→300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var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Mk III transition</w:t>
            </w:r>
          </w:p>
        </w:tc>
      </w:tr>
      <w:tr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P12+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Y80+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~50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 chem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~285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~300</w:t>
            </w:r>
          </w:p>
        </w:tc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C-type</w:t>
            </w:r>
          </w:p>
        </w:tc>
        <w:tc>
          <w:tcPr>
            <w:tcW w:type="dxa" w:w="1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Ion fleet dominates</w:t>
            </w:r>
          </w:p>
        </w:tc>
      </w:tr>
    </w:tbl>
    <w:p>
      <w:r>
        <w:br w:type="page"/>
      </w:r>
    </w:p>
    <w:p>
      <w:pPr>
        <w:pStyle w:val="Heading1"/>
        <w:spacing w:after="120" w:before="0"/>
      </w:pPr>
      <w:r>
        <w:t xml:space="preserve">5. SKIP — Sub-Orbital KREEP Hopper (SPA Only, Retired P9)</w:t>
      </w:r>
    </w:p>
    <w:p>
      <w:pPr>
        <w:spacing w:after="120" w:before="0"/>
      </w:pPr>
      <w:r>
        <w:rPr>
          <w:b/>
          <w:bCs/>
        </w:rPr>
        <w:t xml:space="preserve">NO SKIPs AT PKT — EVER. </w:t>
      </w:r>
      <w:r>
        <w:t xml:space="preserve">SKIPs operate at SPA only. 100 km hop range from Shackleton to SPA Basin KREEP exposures. The old SEL-PROC-PKT-001 §3 reference to “PKT SKIPs” was an architectural error corrected by ECN-019. PKT is 3,300 km from SPA, reachable only via DART’s LLO orbital transfer or mass driver.</w:t>
      </w:r>
    </w:p>
    <w:p>
      <w:pPr>
        <w:spacing w:after="120" w:before="0"/>
      </w:pPr>
      <w:r>
        <w:t xml:space="preserve">Specification unchanged from v8 §7. ~300 kg dry, ~400 kg wet per hop, 303 kg LH₂/LOX per 100 km round-trip, 400 kg KREEP payload.</w:t>
      </w:r>
    </w:p>
    <w:p>
      <w:pPr>
        <w:pStyle w:val="Heading2"/>
        <w:spacing w:after="120" w:before="0"/>
      </w:pPr>
      <w:r>
        <w:t xml:space="preserve">5.1 Retirement Timeline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1200"/>
        <w:gridCol w:w="4960"/>
      </w:tblGrid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SPA SKIPs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4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P3–P6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1→1→2→4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Operational</w:t>
            </w:r>
          </w:p>
        </w:tc>
        <w:tc>
          <w:tcPr>
            <w:tcW w:type="dxa" w:w="4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SPA Basin KREEP collection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P7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Peak fleet</w:t>
            </w:r>
          </w:p>
        </w:tc>
        <w:tc>
          <w:tcPr>
            <w:tcW w:type="dxa" w:w="4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877 t/yr raw KREEP; propellant demand ~664 t/yr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P8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Continuing</w:t>
            </w:r>
          </w:p>
        </w:tc>
        <w:tc>
          <w:tcPr>
            <w:tcW w:type="dxa" w:w="4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SPA KREEP research while PKT ramps to 125 t/yr REO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P9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RETIRED</w:t>
            </w:r>
          </w:p>
        </w:tc>
        <w:tc>
          <w:tcPr>
            <w:tcW w:type="dxa" w:w="4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PKT produces 1,000 t/yr REO from 2,500 circuits; SKIP propellant freed for PROBE fleet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P10+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Decommissioned</w:t>
            </w:r>
          </w:p>
        </w:tc>
        <w:tc>
          <w:tcPr>
            <w:tcW w:type="dxa" w:w="4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Pads repurposed; heritage retained for nav/landing systems</w:t>
            </w:r>
          </w:p>
        </w:tc>
      </w:tr>
    </w:tbl>
    <w:p>
      <w:pPr>
        <w:pStyle w:val="Heading1"/>
        <w:spacing w:after="120" w:before="0"/>
      </w:pPr>
      <w:r>
        <w:t xml:space="preserve">6. DART — Deep-Range Autonomous Return Transport</w:t>
      </w:r>
    </w:p>
    <w:p>
      <w:pPr>
        <w:spacing w:after="120" w:before="0"/>
      </w:pPr>
      <w:r>
        <w:t xml:space="preserve">Specification unchanged from v8 §8. LLO orbital transfer architecture. ~12,370 kg propellant per mission. Single unit, recon/pathfinder role. DART propellant demand is zero from P8 onward — DART operates at PKT on surface power, delivered by mass driver. Fleet count: 1 unit throughout programme (no scaling).</w:t>
      </w:r>
    </w:p>
    <w:p>
      <w:pPr>
        <w:pStyle w:val="Heading1"/>
        <w:spacing w:after="120" w:before="0"/>
      </w:pPr>
      <w:r>
        <w:t xml:space="preserve">7. Surface Hauler — Mining-Capable (SEL-HAULER-001 Rev B)</w:t>
      </w:r>
    </w:p>
    <w:p>
      <w:pPr>
        <w:spacing w:after="120" w:before="0"/>
      </w:pPr>
      <w:r>
        <w:rPr>
          <w:b/>
          <w:bCs/>
        </w:rPr>
        <w:t xml:space="preserve">Replaces both SKIP and MOLE-S at PKT. </w:t>
      </w:r>
      <w:r>
        <w:t xml:space="preserve">One vehicle class handles all PKT surface operations from P8 day one: mining (self-load 5 t KREEP in ~25 min), transport, grading, trenching, and SINTER regolith supply.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336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Parameter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Rev A (superseded)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Rev B (ECN-019)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Dry mass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~1,200 kg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~1,450 kg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Battery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200 kg Li-ion, 50 kWh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~300 kg Na-S, 50 kWh, 300–350°C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Motors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4× SmCo BLDC hub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4× SRM (Fe-Si laminations, Al windings)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Mining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None — transport only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Front bucket/blade (~150 kg), 200 kg/min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Introduction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P10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P8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In-situ fraction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92%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~57%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Modes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Transport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Mine, Grade, Trench, Transport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0"/>
      </w:pPr>
      <w:r>
        <w:t xml:space="preserve">7.1 In-Situ Manufacturing Breakdown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0"/>
        <w:gridCol w:w="800"/>
        <w:gridCol w:w="2200"/>
        <w:gridCol w:w="276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Component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Mass (kg)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In-situ %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In-situ source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Earth-supplied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 frame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85%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MRE Al-Si alloy, WAAM/casting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Fasteners, precision interfaces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SRM hub motors (×4)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70%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Fe-Si laminations, Al windings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Power electronics, sensors, bearings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Fe-Si hopper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90%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MRE iron + silicon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Wear liners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Na-S battery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60%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Na, S, Al₂O₃ electrolyte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Collectors, seals, BMS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Bucket/blade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80%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Fe-Ni (asteroid/foundry)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Actuator electronics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Avionics/nav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0%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Earth-supplied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Thermal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50%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 radiators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MLI film, coatings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TOTAL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~1,450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~57%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~830 kg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~620 kg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0"/>
      </w:pPr>
      <w:r>
        <w:t xml:space="preserve">7.2 Earth Fraction Trajectory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486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Earth fraction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Driver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P8 (Y25)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100%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haulers Earth-built initially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P9 (Y35)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~70%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Foundry pilot, early in-situ frames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P10 (Y45)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~43%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foundry scale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P12 (Y85)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~33%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M-type Fe-Ni improves frame/bucket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 S-type (Y125)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~20% floor</w:t>
            </w:r>
          </w:p>
        </w:tc>
        <w:tc>
          <w:tcPr>
            <w:tcW w:type="dxa" w:w="4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 sensors, Cu wiring in-situ; avionics/BMS irreducible</w:t>
            </w:r>
          </w:p>
        </w:tc>
      </w:tr>
    </w:tbl>
    <w:p>
      <w:r>
        <w:br w:type="page"/>
      </w:r>
    </w:p>
    <w:p>
      <w:pPr>
        <w:pStyle w:val="Heading1"/>
        <w:spacing w:after="120" w:before="0"/>
      </w:pPr>
      <w:r>
        <w:t xml:space="preserve">8. Steel Conveyor Network (Replaces EM Catapults)</w:t>
      </w:r>
    </w:p>
    <w:p>
      <w:pPr>
        <w:spacing w:after="120" w:before="0"/>
      </w:pPr>
      <w:r>
        <w:rPr>
          <w:b/>
          <w:bCs/>
        </w:rPr>
        <w:t xml:space="preserve">SEL-CATAPULT-001 Rev A is SUPERSEDED for ore transport. </w:t>
      </w:r>
      <w:r>
        <w:t xml:space="preserve">The 9,084 ore catapult hubs specified in ECN-016/ECN-017 are eliminated. Steel apron conveyors (Fe-Ni pans on roller chains) replace all Tier 3 transport (50–150 km). ~95% in-situ manufactured. Catapult coilgun technology retained as heritage for programme’s 5 mass drivers only.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900"/>
        <w:gridCol w:w="2960"/>
      </w:tblGrid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Parameter</w:t>
            </w:r>
          </w:p>
        </w:tc>
        <w:tc>
          <w:tcPr>
            <w:tcW w:type="dxa" w:w="2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EM Catapult (superseded)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Steel Conveyor (baseline)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Total infrastructure (P12)</w:t>
            </w:r>
          </w:p>
        </w:tc>
        <w:tc>
          <w:tcPr>
            <w:tcW w:type="dxa" w:w="2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~1.82 Mt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~7–9 Mt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Annual Earth import</w:t>
            </w:r>
          </w:p>
        </w:tc>
        <w:tc>
          <w:tcPr>
            <w:tcW w:type="dxa" w:w="2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~6,140 t/yr (~61 flights)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~300–430 t/yr (~3–4 flights)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YBCO required</w:t>
            </w:r>
          </w:p>
        </w:tc>
        <w:tc>
          <w:tcPr>
            <w:tcW w:type="dxa" w:w="2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~209,000 t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Continuous power</w:t>
            </w:r>
          </w:p>
        </w:tc>
        <w:tc>
          <w:tcPr>
            <w:tcW w:type="dxa" w:w="2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~13.6 GW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~0.44 GW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In-situ fraction</w:t>
            </w:r>
          </w:p>
        </w:tc>
        <w:tc>
          <w:tcPr>
            <w:tcW w:type="dxa" w:w="2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~0% of critical components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~95–97%</w:t>
            </w:r>
          </w:p>
        </w:tc>
      </w:tr>
      <w:tr>
        <w:tc>
          <w:tcPr>
            <w:tcW w:type="dxa" w:w="2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Throughput per route</w:t>
            </w:r>
          </w:p>
        </w:tc>
        <w:tc>
          <w:tcPr>
            <w:tcW w:type="dxa" w:w="2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720 t/day (batch)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48,000 t/day (continuous)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>Network topology: dendritic (trunk + branch), ~87,500 km at P12. ~500 trunk lines averaging 75 km + ~5,000 branches averaging 10 km. Drive stations (SRM, Fe-Si + Al, in-situ) every 1–2 km. MoS₂ lubricated rollers. New document required: SEL-CONVEYOR-001 Rev A.</w:t>
      </w:r>
    </w:p>
    <w:p>
      <w:pPr>
        <w:pStyle w:val="Heading1"/>
        <w:spacing w:after="120" w:before="0"/>
      </w:pPr>
      <w:r>
        <w:t xml:space="preserve">9. SINTER — Construction Rover</w:t>
      </w:r>
    </w:p>
    <w:p>
      <w:pPr>
        <w:spacing w:after="120" w:before="0"/>
      </w:pPr>
      <w:r>
        <w:t xml:space="preserve">Specification unchanged from v8 §5. ~2,200 kg, ATHLETE mobility, 10 kWe onboard fission reactor, solar/CO₂ laser/microwave sintering. SINTER must never all be decommissioned simultaneously. Fleet scales with construction demand — from 3 (P3) to 200+ (P12) for continuous road/enclosure construction at PKT. Steady-state minimum: ~50 units for maintenance.</w:t>
      </w:r>
    </w:p>
    <w:p>
      <w:pPr>
        <w:pStyle w:val="Heading1"/>
        <w:spacing w:after="120" w:before="0"/>
      </w:pPr>
      <w:r>
        <w:t xml:space="preserve">10. SURVEY — Geological Prospector</w:t>
      </w:r>
    </w:p>
    <w:p>
      <w:pPr>
        <w:spacing w:after="120" w:before="0"/>
      </w:pPr>
      <w:r>
        <w:t xml:space="preserve">Specification unchanged from v8 §6. ~180 kg, 4-wheel rocker-bogie, pXRF + GPR + seismic array. 2 units (surface + orbital). Fleet count constant throughout programme.</w:t>
      </w:r>
    </w:p>
    <w:p>
      <w:pPr>
        <w:pStyle w:val="Heading1"/>
        <w:spacing w:after="120" w:before="0"/>
      </w:pPr>
      <w:r>
        <w:t xml:space="preserve">11. ARM &amp; SENTINEL — Support Fleet</w:t>
      </w:r>
    </w:p>
    <w:p>
      <w:pPr>
        <w:pStyle w:val="Heading2"/>
        <w:spacing w:after="120" w:before="0"/>
      </w:pPr>
      <w:r>
        <w:t xml:space="preserve">11.1 ARM</w:t>
      </w:r>
    </w:p>
    <w:p>
      <w:pPr>
        <w:spacing w:after="120" w:before="0"/>
      </w:pPr>
      <w:r>
        <w:t xml:space="preserve">ARM-C (construction) and ARM-D (docking/maintenance) are architecturally identical but role-specialised. ARM-D maintains 1:1 ratio with IZ docking collars at SPA. ARM-C scales with circuit construction rate at PKT: 1 per 500 circuits/yr. Heritage: ESA European Robotic Arm + CSA Dextre. Grid-powered via gantry rail.</w:t>
      </w:r>
    </w:p>
    <w:p>
      <w:pPr>
        <w:pStyle w:val="Heading2"/>
        <w:spacing w:after="120" w:before="0"/>
      </w:pPr>
      <w:r>
        <w:t xml:space="preserve">11.2 SENTINEL</w:t>
      </w:r>
    </w:p>
    <w:p>
      <w:pPr>
        <w:spacing w:after="120" w:before="0"/>
      </w:pPr>
      <w:r>
        <w:t xml:space="preserve">Specification per v8 §9.2 + ECN-014 (cryo transfer line monitoring, valve states, fault patterns #201–#206). ~80 kg, 4-wheel rover. Scales at PKT: 1 per 500 circuits total. At P12 with 2.08M circuits: ~4,167 SENTINEL units. SPA complement: 4+ units (unchanged). Software spec: SEL-SW-SENTINEL-001 Rev A + ECN-014.</w:t>
      </w:r>
    </w:p>
    <w:p>
      <w:pPr>
        <w:pStyle w:val="Heading1"/>
        <w:spacing w:after="120" w:before="0"/>
      </w:pPr>
      <w:r>
        <w:t xml:space="preserve">12. Processing Circuit Design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100"/>
        <w:gridCol w:w="1000"/>
        <w:gridCol w:w="1000"/>
        <w:gridCol w:w="1600"/>
        <w:gridCol w:w="186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Design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REO/yr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Mass (kg)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Power (kW)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Circuits for 2.5 Mt/yr</w:t>
            </w:r>
          </w:p>
        </w:tc>
        <w:tc>
          <w:tcPr>
            <w:tcW w:type="dxa" w:w="1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mass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Batch (rejected)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 t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15,000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180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6,250,000</w:t>
            </w:r>
          </w:p>
        </w:tc>
        <w:tc>
          <w:tcPr>
            <w:tcW w:type="dxa" w:w="1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93.8 Mt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Continuous-flow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0.8 t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22,000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3,125,000</w:t>
            </w:r>
          </w:p>
        </w:tc>
        <w:tc>
          <w:tcPr>
            <w:tcW w:type="dxa" w:w="1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68.8 Mt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Optimised (committed)</w:t>
            </w:r>
          </w:p>
        </w:tc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1.2 t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28,000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400</w:t>
            </w:r>
          </w:p>
        </w:tc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2,083,334</w:t>
            </w:r>
          </w:p>
        </w:tc>
        <w:tc>
          <w:tcPr>
            <w:tcW w:type="dxa" w:w="18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58.3 Mt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>Circuit throughput optimisation is the single highest-value R&amp;D investment ($22T cost reduction over 200 years vs batch). Maintenance rate: 0.5% of mass/yr. Decision gate DG-8.X: validate ≥1.0 t/yr before full PKT commitment.</w:t>
      </w:r>
    </w:p>
    <w:p>
      <w:pPr>
        <w:pStyle w:val="Heading1"/>
        <w:spacing w:after="120" w:before="0"/>
      </w:pPr>
      <w:r>
        <w:t xml:space="preserve">13. Construction Fleet Scaling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1000"/>
        <w:gridCol w:w="1200"/>
        <w:gridCol w:w="2160"/>
      </w:tblGrid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Vehicle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Scales with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Unit mass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Replacement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ARM-C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per 500 circuits/yr build rate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1,500 kg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10-yr life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Circuit installation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SINTER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per 200 circuits/yr build rate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2,200 kg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15-yr life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Roads, enclosures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SENTINEL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per 500 circuits total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80 kg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10-yr life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Monitoring</w:t>
            </w:r>
          </w:p>
        </w:tc>
      </w:tr>
      <w:tr>
        <w:tc>
          <w:tcPr>
            <w:tcW w:type="dxa" w:w="1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Charging hub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 per 100 haulers</w:t>
            </w:r>
          </w:p>
        </w:tc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5,000 kg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Long life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95% in-situ</w:t>
            </w:r>
          </w:p>
        </w:tc>
      </w:tr>
    </w:tbl>
    <w:p>
      <w:pPr>
        <w:pStyle w:val="Heading1"/>
        <w:spacing w:after="120" w:before="0"/>
      </w:pPr>
      <w:r>
        <w:t xml:space="preserve">14. Asteroid Capture Infrastructure</w:t>
      </w:r>
    </w:p>
    <w:p>
      <w:pPr>
        <w:pStyle w:val="Heading2"/>
        <w:spacing w:after="120" w:before="0"/>
      </w:pPr>
      <w:r>
        <w:t xml:space="preserve">14.1 SEP/NEP Redirect Tugs</w:t>
      </w:r>
    </w:p>
    <w:p>
      <w:pPr>
        <w:spacing w:after="120" w:before="0"/>
      </w:pPr>
      <w:r>
        <w:t xml:space="preserve">~50,000 kg each, 20-yr replacement cycle. Earth-built, LEO launch at $500/kg, self-transfer via ion drive. Fleet: 2 tugs (Y65, M-type redirect) → 3 (C-type) → 5 (S-type + redundancy). Safety protocol: planetary defence review (UN COPUOS), Earth-impact probability &lt;10⁻⁸, multiple abort windows.</w:t>
      </w:r>
    </w:p>
    <w:p>
      <w:pPr>
        <w:pStyle w:val="Heading2"/>
        <w:spacing w:after="120" w:before="0"/>
      </w:pPr>
      <w:r>
        <w:t xml:space="preserve">14.2 Laser Ablation Truss</w:t>
      </w:r>
    </w:p>
    <w:p>
      <w:pPr>
        <w:spacing w:after="120" w:before="0"/>
      </w:pPr>
      <w:r>
        <w:t xml:space="preserve">One per captured asteroid in DRO. Linear rigid truss, dual laser heads, ~350 MW total, 1,000 t/day throughput. Surface ablation in spiral pattern. Electrostatic/magnetic collectors. Heritage: DE-STAR (Lubin, UCSB). DG-13.2 decision gate.</w:t>
      </w:r>
    </w:p>
    <w:p>
      <w:pPr>
        <w:pStyle w:val="Heading2"/>
        <w:spacing w:after="120" w:before="0"/>
      </w:pPr>
      <w:r>
        <w:t xml:space="preserve">14.3 Diversified Asteroid Captures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200"/>
        <w:gridCol w:w="800"/>
        <w:gridCol w:w="800"/>
        <w:gridCol w:w="2400"/>
        <w:gridCol w:w="256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Size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Capture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Provides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Impact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M-type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~200 m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Y75→Y85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36.5 t/yr PGM, Fe-Ni for foundry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80+ yr campaign; hauler Earth frac →20%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C-type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~100 m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Y95→Y105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Water, carbon, nitrogen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Circuit Earth frac 10%→3%; propellant independence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S-type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~100 m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Y115→Y125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Silicon, copper</w:t>
            </w:r>
          </w:p>
        </w:tc>
        <w:tc>
          <w:tcPr>
            <w:tcW w:type="dxa" w:w="2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Circuit Earth frac 3%→0.8%; in-situ sensors</w:t>
            </w:r>
          </w:p>
        </w:tc>
      </w:tr>
    </w:tbl>
    <w:p>
      <w:r>
        <w:br w:type="page"/>
      </w:r>
    </w:p>
    <w:p>
      <w:pPr>
        <w:pStyle w:val="Heading1"/>
        <w:spacing w:after="120" w:before="0"/>
      </w:pPr>
      <w:r>
        <w:t xml:space="preserve">15. Crater Access Infrastructure</w:t>
      </w:r>
    </w:p>
    <w:p>
      <w:pPr>
        <w:spacing w:after="120" w:before="0"/>
      </w:pPr>
      <w:r>
        <w:t xml:space="preserve">Unchanged from v8 §10. Descent winch (Kevlar/Vectran cable, 0.5 m/s, ~4.7 hr over 8,400 m). Cable tramway (Phase 3 material transport, 350 kg containers). Heated water pipeline (Phase 4+, 8,500 m, 7 W/m trace heating). Bilateral fishbone substation network (~310 positions at Shackleton, expandable to de Gerlache via Connecting Ridge). Crater Access Pod (CAP) for contingency crew PSR access (SEL-CAP-001 Rev A).</w:t>
      </w:r>
    </w:p>
    <w:p>
      <w:pPr>
        <w:pStyle w:val="Heading1"/>
        <w:spacing w:after="120" w:before="0"/>
      </w:pPr>
      <w:r>
        <w:t xml:space="preserve">16. Document History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560"/>
      </w:tblGrid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v8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17×5 architecture, separated ISRU, 9 robot classes, MOLE split, SKIP/DART/SURVEY added. March 2026.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ECN-012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MOLE-I drain pipe reroute, mini-VEX thermal correction.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ECN-013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MOLE-I navigation (tether polar fix + IMU), ARM removed from PSR, SATS+WEB integration, motorised bayonet adapter, construction tether retraction spools.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ECN-014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SENTINEL cryo transfer line monitoring, auto-close logic, valve state DB table, fault patterns #201–#206.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ECN-016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SKIP phase-out, MOLE-I Mk II drill, PROBE Mk II heavy, hauler intro, EM catapult, asteroid capture. (Partially superseded by ECN-019.)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ECN-017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In-situ hauler manufacturing, corrected catapult scaling. (Superseded by ECN-019.)</w:t>
            </w:r>
          </w:p>
        </w:tc>
      </w:tr>
      <w:tr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v9 (ECN-019)</w:t>
            </w:r>
          </w:p>
        </w:tc>
        <w:tc>
          <w:tcPr>
            <w:tcW w:type="dxa" w:w="7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Programme-wide revision. 2.5 Mt/yr target. Demand-driven MOLE-I (max ~355, drops to ~50 at Mk III). SKIP retired P9, NO PKT SKIPs. PROBE Mk III SEP (ion, never-lands, EM anchoring). Hauler Rev B at P8 (Na-S, SRM, mining bucket). Catapults → conveyors. Optimised circuits (1.2 t/yr). Base specialisation. Diversified asteroids (M/C/S). Laser ablation truss. 5 mass drivers. Construction fleet scaling. P14+ Earth independence. April 2026.</w:t>
            </w:r>
          </w:p>
        </w:tc>
      </w:tr>
    </w:tbl>
    <w:p>
      <w:pPr>
        <w:sectPr>
          <w:headerReference w:type="default" r:id="rId7"/>
          <w:footerReference w:type="default" r:id="rId8"/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spacing w:after="120" w:before="0"/>
      </w:pPr>
      <w:r>
        <w:t xml:space="preserve">APPENDIX A — Complete Fleet Scaling: Operational Vehicles (All Phases, 200-Year Plan)</w:t>
      </w:r>
    </w:p>
    <w:p>
      <w:pPr>
        <w:spacing w:after="120" w:before="0"/>
      </w:pPr>
      <w:r>
        <w:rPr>
          <w:i/>
          <w:iCs/>
        </w:rPr>
        <w:t xml:space="preserve">All figures represent end-of-phase fleet counts. Mk III PROBE uses zero ISRU propellant. Haulers are PKT-only. SKIPs and MOLE-S are SPA-only.</w:t>
      </w:r>
    </w:p>
    <w:tbl>
      <w:tblPr>
        <w:tblW w:type="dxa" w:w="10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</w:tblGrid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Vehicle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P0–P3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P4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P5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P6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P7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P8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P9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P10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P11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P12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P13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P14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P14+ SS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Base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PROBE Mk I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96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→ 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SPA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PROBE Mk II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190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230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260→30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SPA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PROBE Mk III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0→1,714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1,714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1,714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1,714→300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Orbit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SKIP (SPA)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SPA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MOLE-I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85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~247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~240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~280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~320→~50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~50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~50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~50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~50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SPA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MOLE-S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SPA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DART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SPA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SURVEY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SPA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Hauler (PKT)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1,000+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14,881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148,810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1.49M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~1.5M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~1.5M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~1.5M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PKT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Redirect tug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3–5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LEO→DRO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Laser truss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1–2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2–3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DRO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pStyle w:val="Heading1"/>
        <w:spacing w:after="120" w:before="0"/>
      </w:pPr>
      <w:r>
        <w:t xml:space="preserve">APPENDIX B — Complete Fleet Scaling: Infrastructure &amp; Construction (All Phases, 200-Year Plan)</w:t>
      </w:r>
    </w:p>
    <w:p>
      <w:pPr>
        <w:spacing w:after="120" w:before="0"/>
      </w:pPr>
      <w:r>
        <w:rPr>
          <w:i/>
          <w:iCs/>
        </w:rPr>
        <w:t xml:space="preserve">SINTER and ARM-C scale with construction rate during build-out, then reduce to maintenance minimum at P14+. SENTINEL scales with total circuit count.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  <w:gridCol w:w="700"/>
      </w:tblGrid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System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P0–P3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P4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P5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P6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P7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P8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P9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P10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P11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P12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P13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P14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P14+ SS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SINTER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3+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20+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30+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50+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100+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200+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200+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100+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~50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ARM-C (PKT)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5+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15+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30+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100+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200+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150+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100+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~20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ARM-D (SPA IZ)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30+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30+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30+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30+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30+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SENTINEL (SPA)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4+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6+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10+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15+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20+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20+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20+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20+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20+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SENTINEL (PKT)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5+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10+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50+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500+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4,167+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4,167+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4,167+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maint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Charging hubs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~150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~1,500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~15,000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~15,000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~15,000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~15,000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Conveyor (km)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5,000+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15,000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87,500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87,500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87,500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87,500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Road (km)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~3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~30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~100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~500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~2,000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~15,000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~50,000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~200,000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~200,000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~200,000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~200,000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Mass drivers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Circuits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308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2,500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25,000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250,000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2,083,334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2,083,334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2,083,334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2,083,334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MSR (100 MWe)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1–3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~74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~679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~6,890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~6,890+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~6,893+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~6,893+</w:t>
            </w:r>
          </w:p>
        </w:tc>
      </w:tr>
      <w:tr>
        <w:tc>
          <w:tcPr>
            <w:tcW w:type="dxa" w:w="1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REO t/yr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125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1,000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10,000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100,000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500,000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1,250,000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2,500,000</w:t>
            </w:r>
          </w:p>
        </w:tc>
        <w:tc>
          <w:tcPr>
            <w:tcW w:type="dxa" w:w="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2,500,000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pStyle w:val="Heading1"/>
        <w:spacing w:after="120" w:before="0"/>
      </w:pPr>
      <w:r>
        <w:t xml:space="preserve">APPENDIX C — Phase Timeline and Key Milestones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00"/>
        <w:gridCol w:w="1500"/>
        <w:gridCol w:w="1500"/>
        <w:gridCol w:w="5100"/>
      </w:tblGrid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Phase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Years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Calendar (~)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REO t/yr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Key milestones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Y0–Y3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~2025–2028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Programme GO, relay deployment, design freeze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P1–P3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Y2–Y7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~2027–2032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Cargo landing, ISRU commissioning, MOLE-I deployment, first ice extraction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P4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Y7–Y9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~2032–2034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Crew arrival (4–8), life support online, PROBE ISRU-fuelled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P5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Y9–Y12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~2034–2037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DART first PKT mission, beneficiation, troilite H₂SO₄ pilot, first exports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P6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Y12–Y15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~2037–2040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Processing facility, Ca(OH)₂ pilot, crew rotation begins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P7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Y18–Y25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~2043–2050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0.4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PKT commitment gate, Th recovery, SPA KREEP proof-of-concept, 5 circuits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P8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Y25–Y35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~2050–2060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125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SPA→PKT mass driver, PKT base construction (4 waves, ~300 Starships), circuit validation DG-8.X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P9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Y35–Y45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~2060–2070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1,000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PKT→Earth mass driver, SKIP retired, first MSR, foundry at scale, conveyor pilot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P10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Y45–Y60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~2070–2085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10,000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14,881 haulers, 25k circuits, MSR fleet ~74, full industrial scale, SPA MSR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P11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Y60–Y80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~2085–2105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100,000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Mk III PROBE transition, MOLE-I drops to ~50, M-type asteroid redirect, SPA→Earth mass driver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P12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Y80–Y120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~2105–2145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100k→500k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M-type asteroid online (Y85), 36.5 t/yr PGM, laser truss, MD-5 DRO→SPA, 1.49M haulers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P13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Y120–Y140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~2145–2165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500k→1.25M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C-type online (Y105), propellant independence, circuit Earth frac →3%, polymer in-situ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P14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Y140–Y180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~2165–2205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1.25M→2.5M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S-type online (Y125), Si/Cu in-situ, circuit Earth frac →0.8%, Earth independence assessment</w:t>
            </w:r>
          </w:p>
        </w:tc>
      </w:tr>
      <w:tr>
        <w:tc>
          <w:tcPr>
            <w:tcW w:type="dxa" w:w="9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P14+ SS</w:t>
            </w:r>
          </w:p>
        </w:tc>
        <w:tc>
          <w:tcPr>
            <w:tcW w:type="dxa" w:w="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Y180+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~2205+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2,500,000</w:t>
            </w:r>
          </w:p>
        </w:tc>
        <w:tc>
          <w:tcPr>
            <w:tcW w:type="dxa" w:w="5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Steady state. +$121.8B/yr surplus. 182 Mt CO₂/yr avoided. Indefinite operation.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0"/>
        <w:jc w:val="center"/>
      </w:pPr>
      <w:r>
        <w:rPr>
          <w:i/>
          <w:iCs/>
        </w:rPr>
        <w:t xml:space="preserve">— End of SEL_ROBOT_FLEET v9 —</w:t>
      </w:r>
    </w:p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SELENITE PROGRAMME — DRAFT —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SEL_ROBOT_FLEET v9 — ECN-019 Rev C Applied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2026-04-05T13:12:26.068Z</dcterms:created>
  <dcterms:modified xsi:type="dcterms:W3CDTF">2026-04-05T13:12:26.069Z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