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192" w:lineRule="auto"/>
      </w:pPr>
      <w:r>
        <w:rPr/>
        <w:t>WORKING</w:t>
      </w:r>
      <w:r>
        <w:rPr>
          <w:spacing w:val="-13"/>
        </w:rPr>
        <w:t> </w:t>
      </w:r>
      <w:r>
        <w:rPr/>
        <w:t>CAPITAL</w:t>
      </w:r>
      <w:r>
        <w:rPr>
          <w:spacing w:val="-13"/>
        </w:rPr>
        <w:t> </w:t>
      </w:r>
      <w:r>
        <w:rPr/>
        <w:t>MANAGEMENT</w:t>
      </w:r>
      <w:r>
        <w:rPr>
          <w:spacing w:val="-13"/>
        </w:rPr>
        <w:t> </w:t>
      </w:r>
      <w:r>
        <w:rPr/>
        <w:t>IN RELIANCE INDUSTRIES LIMITED</w:t>
      </w:r>
    </w:p>
    <w:p>
      <w:pPr>
        <w:pStyle w:val="Heading4"/>
        <w:spacing w:before="531"/>
      </w:pPr>
      <w:r>
        <w:rPr/>
        <w:t>A Comprehensive Study of Financial </w:t>
      </w:r>
      <w:r>
        <w:rPr>
          <w:spacing w:val="-2"/>
        </w:rPr>
        <w:t>Efficiency</w:t>
      </w:r>
    </w:p>
    <w:p>
      <w:pPr>
        <w:pStyle w:val="BodyText"/>
        <w:spacing w:before="8"/>
        <w:rPr>
          <w:rFonts w:ascii="Arial"/>
          <w:b/>
        </w:rPr>
      </w:pPr>
    </w:p>
    <w:p>
      <w:pPr>
        <w:spacing w:before="1"/>
        <w:ind w:left="120" w:right="0" w:firstLine="0"/>
        <w:jc w:val="left"/>
        <w:rPr>
          <w:rFonts w:ascii="Arial"/>
          <w:i/>
          <w:sz w:val="24"/>
        </w:rPr>
      </w:pPr>
      <w:r>
        <w:rPr>
          <w:rFonts w:ascii="Arial"/>
          <w:i/>
          <w:sz w:val="24"/>
        </w:rPr>
        <w:t>MBA Finance </w:t>
      </w:r>
      <w:r>
        <w:rPr>
          <w:rFonts w:ascii="Arial"/>
          <w:i/>
          <w:spacing w:val="-2"/>
          <w:sz w:val="24"/>
        </w:rPr>
        <w:t>Project</w:t>
      </w:r>
    </w:p>
    <w:p>
      <w:pPr>
        <w:pStyle w:val="BodyText"/>
        <w:spacing w:before="7"/>
        <w:rPr>
          <w:rFonts w:ascii="Arial"/>
          <w:i/>
        </w:rPr>
      </w:pPr>
    </w:p>
    <w:p>
      <w:pPr>
        <w:spacing w:before="1"/>
        <w:ind w:left="120" w:right="0" w:firstLine="0"/>
        <w:jc w:val="left"/>
        <w:rPr>
          <w:sz w:val="24"/>
        </w:rPr>
      </w:pPr>
      <w:r>
        <w:rPr>
          <w:sz w:val="24"/>
        </w:rPr>
        <w:t>--</w:t>
      </w:r>
      <w:r>
        <w:rPr>
          <w:spacing w:val="-10"/>
          <w:sz w:val="24"/>
        </w:rPr>
        <w:t>-</w:t>
      </w:r>
    </w:p>
    <w:p>
      <w:pPr>
        <w:pStyle w:val="BodyText"/>
        <w:spacing w:before="7"/>
      </w:pPr>
    </w:p>
    <w:p>
      <w:pPr>
        <w:pStyle w:val="BodyText"/>
        <w:spacing w:before="1"/>
        <w:ind w:left="120"/>
      </w:pPr>
      <w:r>
        <w:rPr/>
        <w:t>!Reliance Industries </w:t>
      </w:r>
      <w:r>
        <w:rPr>
          <w:spacing w:val="-4"/>
        </w:rPr>
        <w:t>Logo</w:t>
      </w:r>
    </w:p>
    <w:p>
      <w:pPr>
        <w:pStyle w:val="BodyText"/>
        <w:spacing w:before="7"/>
      </w:pPr>
    </w:p>
    <w:p>
      <w:pPr>
        <w:spacing w:before="1"/>
        <w:ind w:left="120" w:right="0" w:firstLine="0"/>
        <w:jc w:val="left"/>
        <w:rPr>
          <w:sz w:val="24"/>
        </w:rPr>
      </w:pPr>
      <w:r>
        <w:rPr>
          <w:sz w:val="24"/>
        </w:rPr>
        <w:t>--</w:t>
      </w:r>
      <w:r>
        <w:rPr>
          <w:spacing w:val="-10"/>
          <w:sz w:val="24"/>
        </w:rPr>
        <w:t>-</w:t>
      </w:r>
    </w:p>
    <w:p>
      <w:pPr>
        <w:pStyle w:val="BodyText"/>
        <w:spacing w:before="135"/>
      </w:pPr>
    </w:p>
    <w:p>
      <w:pPr>
        <w:pStyle w:val="Heading1"/>
        <w:ind w:left="120" w:firstLine="0"/>
      </w:pPr>
      <w:r>
        <w:rPr/>
        <w:t>EXECUTIVE </w:t>
      </w:r>
      <w:r>
        <w:rPr>
          <w:spacing w:val="-2"/>
        </w:rPr>
        <w:t>SUMMARY</w:t>
      </w:r>
    </w:p>
    <w:p>
      <w:pPr>
        <w:pStyle w:val="BodyText"/>
        <w:spacing w:before="34"/>
        <w:rPr>
          <w:rFonts w:ascii="Arial"/>
          <w:b/>
          <w:sz w:val="36"/>
        </w:rPr>
      </w:pPr>
    </w:p>
    <w:p>
      <w:pPr>
        <w:pStyle w:val="BodyText"/>
        <w:spacing w:line="208" w:lineRule="auto" w:before="0"/>
        <w:ind w:left="120" w:right="1633"/>
      </w:pPr>
      <w:r>
        <w:rPr/>
        <w:t>This comprehensive project analyzes the working capital management practices at Reliance Industries Limited (RIL), India's largest private sector enterprise. The study examines RIL's approach to managing its current assets and current liabilities over a five-year period (2020-2025), with particular focus on how the company balances liquidity,</w:t>
      </w:r>
      <w:r>
        <w:rPr>
          <w:spacing w:val="-5"/>
        </w:rPr>
        <w:t> </w:t>
      </w:r>
      <w:r>
        <w:rPr/>
        <w:t>profitability,</w:t>
      </w:r>
      <w:r>
        <w:rPr>
          <w:spacing w:val="-5"/>
        </w:rPr>
        <w:t> </w:t>
      </w:r>
      <w:r>
        <w:rPr/>
        <w:t>and</w:t>
      </w:r>
      <w:r>
        <w:rPr>
          <w:spacing w:val="-5"/>
        </w:rPr>
        <w:t> </w:t>
      </w:r>
      <w:r>
        <w:rPr/>
        <w:t>operational</w:t>
      </w:r>
      <w:r>
        <w:rPr>
          <w:spacing w:val="-5"/>
        </w:rPr>
        <w:t> </w:t>
      </w:r>
      <w:r>
        <w:rPr/>
        <w:t>efficiency</w:t>
      </w:r>
      <w:r>
        <w:rPr>
          <w:spacing w:val="-5"/>
        </w:rPr>
        <w:t> </w:t>
      </w:r>
      <w:r>
        <w:rPr/>
        <w:t>across</w:t>
      </w:r>
      <w:r>
        <w:rPr>
          <w:spacing w:val="-5"/>
        </w:rPr>
        <w:t> </w:t>
      </w:r>
      <w:r>
        <w:rPr/>
        <w:t>its</w:t>
      </w:r>
      <w:r>
        <w:rPr>
          <w:spacing w:val="-5"/>
        </w:rPr>
        <w:t> </w:t>
      </w:r>
      <w:r>
        <w:rPr/>
        <w:t>diverse</w:t>
      </w:r>
      <w:r>
        <w:rPr>
          <w:spacing w:val="-5"/>
        </w:rPr>
        <w:t> </w:t>
      </w:r>
      <w:r>
        <w:rPr/>
        <w:t>business</w:t>
      </w:r>
      <w:r>
        <w:rPr>
          <w:spacing w:val="-5"/>
        </w:rPr>
        <w:t> </w:t>
      </w:r>
      <w:r>
        <w:rPr/>
        <w:t>segments.</w:t>
      </w:r>
    </w:p>
    <w:p>
      <w:pPr>
        <w:pStyle w:val="BodyText"/>
        <w:spacing w:before="43"/>
      </w:pPr>
    </w:p>
    <w:p>
      <w:pPr>
        <w:pStyle w:val="BodyText"/>
        <w:spacing w:line="208" w:lineRule="auto" w:before="1"/>
        <w:ind w:left="120" w:right="1605"/>
      </w:pPr>
      <w:r>
        <w:rPr/>
        <w:t>Key findings indicate that RIL maintains a moderately conservative approach to working capital management, with strong liquidity ratios and improving cash conversion cycles. The company's cash conversion cycle decreased from 47 days in FY2020-21</w:t>
      </w:r>
      <w:r>
        <w:rPr>
          <w:spacing w:val="-4"/>
        </w:rPr>
        <w:t> </w:t>
      </w:r>
      <w:r>
        <w:rPr/>
        <w:t>to</w:t>
      </w:r>
      <w:r>
        <w:rPr>
          <w:spacing w:val="-4"/>
        </w:rPr>
        <w:t> </w:t>
      </w:r>
      <w:r>
        <w:rPr/>
        <w:t>39</w:t>
      </w:r>
      <w:r>
        <w:rPr>
          <w:spacing w:val="-4"/>
        </w:rPr>
        <w:t> </w:t>
      </w:r>
      <w:r>
        <w:rPr/>
        <w:t>days</w:t>
      </w:r>
      <w:r>
        <w:rPr>
          <w:spacing w:val="-4"/>
        </w:rPr>
        <w:t> </w:t>
      </w:r>
      <w:r>
        <w:rPr/>
        <w:t>in</w:t>
      </w:r>
      <w:r>
        <w:rPr>
          <w:spacing w:val="-4"/>
        </w:rPr>
        <w:t> </w:t>
      </w:r>
      <w:r>
        <w:rPr/>
        <w:t>FY2024-25,</w:t>
      </w:r>
      <w:r>
        <w:rPr>
          <w:spacing w:val="-4"/>
        </w:rPr>
        <w:t> </w:t>
      </w:r>
      <w:r>
        <w:rPr/>
        <w:t>reflecting</w:t>
      </w:r>
      <w:r>
        <w:rPr>
          <w:spacing w:val="-4"/>
        </w:rPr>
        <w:t> </w:t>
      </w:r>
      <w:r>
        <w:rPr/>
        <w:t>enhanced</w:t>
      </w:r>
      <w:r>
        <w:rPr>
          <w:spacing w:val="-4"/>
        </w:rPr>
        <w:t> </w:t>
      </w:r>
      <w:r>
        <w:rPr/>
        <w:t>inventory</w:t>
      </w:r>
      <w:r>
        <w:rPr>
          <w:spacing w:val="-4"/>
        </w:rPr>
        <w:t> </w:t>
      </w:r>
      <w:r>
        <w:rPr/>
        <w:t>management</w:t>
      </w:r>
      <w:r>
        <w:rPr>
          <w:spacing w:val="-4"/>
        </w:rPr>
        <w:t> </w:t>
      </w:r>
      <w:r>
        <w:rPr/>
        <w:t>and strategic supplier relationships. The petrochemicals segment demonstrates the most efficient working capital utilization, while the retail segment shows the highest potential for optimization.</w:t>
      </w:r>
    </w:p>
    <w:p>
      <w:pPr>
        <w:pStyle w:val="BodyText"/>
        <w:spacing w:before="43"/>
      </w:pPr>
    </w:p>
    <w:p>
      <w:pPr>
        <w:pStyle w:val="BodyText"/>
        <w:spacing w:line="208" w:lineRule="auto" w:before="0"/>
        <w:ind w:left="120" w:right="1633"/>
      </w:pPr>
      <w:r>
        <w:rPr/>
        <w:t>The</w:t>
      </w:r>
      <w:r>
        <w:rPr>
          <w:spacing w:val="-4"/>
        </w:rPr>
        <w:t> </w:t>
      </w:r>
      <w:r>
        <w:rPr/>
        <w:t>study</w:t>
      </w:r>
      <w:r>
        <w:rPr>
          <w:spacing w:val="-4"/>
        </w:rPr>
        <w:t> </w:t>
      </w:r>
      <w:r>
        <w:rPr/>
        <w:t>reveals</w:t>
      </w:r>
      <w:r>
        <w:rPr>
          <w:spacing w:val="-4"/>
        </w:rPr>
        <w:t> </w:t>
      </w:r>
      <w:r>
        <w:rPr/>
        <w:t>a</w:t>
      </w:r>
      <w:r>
        <w:rPr>
          <w:spacing w:val="-4"/>
        </w:rPr>
        <w:t> </w:t>
      </w:r>
      <w:r>
        <w:rPr/>
        <w:t>statistically</w:t>
      </w:r>
      <w:r>
        <w:rPr>
          <w:spacing w:val="-4"/>
        </w:rPr>
        <w:t> </w:t>
      </w:r>
      <w:r>
        <w:rPr/>
        <w:t>significant</w:t>
      </w:r>
      <w:r>
        <w:rPr>
          <w:spacing w:val="-4"/>
        </w:rPr>
        <w:t> </w:t>
      </w:r>
      <w:r>
        <w:rPr/>
        <w:t>correlation</w:t>
      </w:r>
      <w:r>
        <w:rPr>
          <w:spacing w:val="-4"/>
        </w:rPr>
        <w:t> </w:t>
      </w:r>
      <w:r>
        <w:rPr/>
        <w:t>(r=0.78,</w:t>
      </w:r>
      <w:r>
        <w:rPr>
          <w:spacing w:val="-4"/>
        </w:rPr>
        <w:t> </w:t>
      </w:r>
      <w:r>
        <w:rPr/>
        <w:t>p&lt;0.05)</w:t>
      </w:r>
      <w:r>
        <w:rPr>
          <w:spacing w:val="-4"/>
        </w:rPr>
        <w:t> </w:t>
      </w:r>
      <w:r>
        <w:rPr/>
        <w:t>between</w:t>
      </w:r>
      <w:r>
        <w:rPr>
          <w:spacing w:val="-4"/>
        </w:rPr>
        <w:t> </w:t>
      </w:r>
      <w:r>
        <w:rPr/>
        <w:t>RIL's working capital efficiency and its return on assets. Benchmarking against industry peers positions RIL favorably in terms of liquidity management, though opportunities exist to further optimize inventory turnover, particularly in the retail segment.</w:t>
      </w:r>
    </w:p>
    <w:p>
      <w:pPr>
        <w:pStyle w:val="BodyText"/>
        <w:spacing w:before="43"/>
      </w:pPr>
    </w:p>
    <w:p>
      <w:pPr>
        <w:pStyle w:val="BodyText"/>
        <w:spacing w:line="208" w:lineRule="auto" w:before="1"/>
        <w:ind w:left="120" w:right="1633"/>
      </w:pPr>
      <w:r>
        <w:rPr/>
        <w:t>Recommendations</w:t>
      </w:r>
      <w:r>
        <w:rPr>
          <w:spacing w:val="-7"/>
        </w:rPr>
        <w:t> </w:t>
      </w:r>
      <w:r>
        <w:rPr/>
        <w:t>include</w:t>
      </w:r>
      <w:r>
        <w:rPr>
          <w:spacing w:val="-7"/>
        </w:rPr>
        <w:t> </w:t>
      </w:r>
      <w:r>
        <w:rPr/>
        <w:t>implementing</w:t>
      </w:r>
      <w:r>
        <w:rPr>
          <w:spacing w:val="-7"/>
        </w:rPr>
        <w:t> </w:t>
      </w:r>
      <w:r>
        <w:rPr/>
        <w:t>advanced</w:t>
      </w:r>
      <w:r>
        <w:rPr>
          <w:spacing w:val="-7"/>
        </w:rPr>
        <w:t> </w:t>
      </w:r>
      <w:r>
        <w:rPr/>
        <w:t>inventory</w:t>
      </w:r>
      <w:r>
        <w:rPr>
          <w:spacing w:val="-7"/>
        </w:rPr>
        <w:t> </w:t>
      </w:r>
      <w:r>
        <w:rPr/>
        <w:t>forecasting</w:t>
      </w:r>
      <w:r>
        <w:rPr>
          <w:spacing w:val="-7"/>
        </w:rPr>
        <w:t> </w:t>
      </w:r>
      <w:r>
        <w:rPr/>
        <w:t>systems, restructuring credit terms by customer segment, leveraging scale for extended supplier payment terms, centralizing treasury operations, and adopting blockchain technology for supply chain transparency.</w:t>
      </w:r>
    </w:p>
    <w:p>
      <w:pPr>
        <w:pStyle w:val="BodyText"/>
        <w:spacing w:before="14"/>
      </w:pPr>
    </w:p>
    <w:p>
      <w:pPr>
        <w:pStyle w:val="BodyText"/>
        <w:spacing w:line="251" w:lineRule="exact" w:before="0"/>
        <w:ind w:left="120"/>
      </w:pPr>
      <w:r>
        <w:rPr/>
        <w:t>Implementation of these recommendations could potentially release </w:t>
      </w:r>
      <w:r>
        <w:rPr>
          <w:spacing w:val="-2"/>
        </w:rPr>
        <w:t>approximately</w:t>
      </w:r>
    </w:p>
    <w:p>
      <w:pPr>
        <w:pStyle w:val="ListParagraph"/>
        <w:numPr>
          <w:ilvl w:val="0"/>
          <w:numId w:val="1"/>
        </w:numPr>
        <w:tabs>
          <w:tab w:pos="360" w:val="left" w:leader="none"/>
        </w:tabs>
        <w:spacing w:line="196" w:lineRule="auto" w:before="18" w:after="0"/>
        <w:ind w:left="120" w:right="1659" w:firstLine="0"/>
        <w:jc w:val="left"/>
        <w:rPr>
          <w:sz w:val="24"/>
        </w:rPr>
      </w:pPr>
      <w:r>
        <w:rPr>
          <w:sz w:val="24"/>
        </w:rPr>
        <w:t>12,500</w:t>
      </w:r>
      <w:r>
        <w:rPr>
          <w:spacing w:val="-4"/>
          <w:sz w:val="24"/>
        </w:rPr>
        <w:t> </w:t>
      </w:r>
      <w:r>
        <w:rPr>
          <w:sz w:val="24"/>
        </w:rPr>
        <w:t>crores</w:t>
      </w:r>
      <w:r>
        <w:rPr>
          <w:spacing w:val="-4"/>
          <w:sz w:val="24"/>
        </w:rPr>
        <w:t> </w:t>
      </w:r>
      <w:r>
        <w:rPr>
          <w:sz w:val="24"/>
        </w:rPr>
        <w:t>in</w:t>
      </w:r>
      <w:r>
        <w:rPr>
          <w:spacing w:val="-4"/>
          <w:sz w:val="24"/>
        </w:rPr>
        <w:t> </w:t>
      </w:r>
      <w:r>
        <w:rPr>
          <w:sz w:val="24"/>
        </w:rPr>
        <w:t>tied-up</w:t>
      </w:r>
      <w:r>
        <w:rPr>
          <w:spacing w:val="-4"/>
          <w:sz w:val="24"/>
        </w:rPr>
        <w:t> </w:t>
      </w:r>
      <w:r>
        <w:rPr>
          <w:sz w:val="24"/>
        </w:rPr>
        <w:t>working</w:t>
      </w:r>
      <w:r>
        <w:rPr>
          <w:spacing w:val="-4"/>
          <w:sz w:val="24"/>
        </w:rPr>
        <w:t> </w:t>
      </w:r>
      <w:r>
        <w:rPr>
          <w:sz w:val="24"/>
        </w:rPr>
        <w:t>capital</w:t>
      </w:r>
      <w:r>
        <w:rPr>
          <w:spacing w:val="-4"/>
          <w:sz w:val="24"/>
        </w:rPr>
        <w:t> </w:t>
      </w:r>
      <w:r>
        <w:rPr>
          <w:sz w:val="24"/>
        </w:rPr>
        <w:t>and</w:t>
      </w:r>
      <w:r>
        <w:rPr>
          <w:spacing w:val="-4"/>
          <w:sz w:val="24"/>
        </w:rPr>
        <w:t> </w:t>
      </w:r>
      <w:r>
        <w:rPr>
          <w:sz w:val="24"/>
        </w:rPr>
        <w:t>improve</w:t>
      </w:r>
      <w:r>
        <w:rPr>
          <w:spacing w:val="-4"/>
          <w:sz w:val="24"/>
        </w:rPr>
        <w:t> </w:t>
      </w:r>
      <w:r>
        <w:rPr>
          <w:sz w:val="24"/>
        </w:rPr>
        <w:t>return</w:t>
      </w:r>
      <w:r>
        <w:rPr>
          <w:spacing w:val="-4"/>
          <w:sz w:val="24"/>
        </w:rPr>
        <w:t> </w:t>
      </w:r>
      <w:r>
        <w:rPr>
          <w:sz w:val="24"/>
        </w:rPr>
        <w:t>on</w:t>
      </w:r>
      <w:r>
        <w:rPr>
          <w:spacing w:val="-4"/>
          <w:sz w:val="24"/>
        </w:rPr>
        <w:t> </w:t>
      </w:r>
      <w:r>
        <w:rPr>
          <w:sz w:val="24"/>
        </w:rPr>
        <w:t>capital</w:t>
      </w:r>
      <w:r>
        <w:rPr>
          <w:spacing w:val="-4"/>
          <w:sz w:val="24"/>
        </w:rPr>
        <w:t> </w:t>
      </w:r>
      <w:r>
        <w:rPr>
          <w:sz w:val="24"/>
        </w:rPr>
        <w:t>employed</w:t>
      </w:r>
      <w:r>
        <w:rPr>
          <w:spacing w:val="-4"/>
          <w:sz w:val="24"/>
        </w:rPr>
        <w:t> </w:t>
      </w:r>
      <w:r>
        <w:rPr>
          <w:sz w:val="24"/>
        </w:rPr>
        <w:t>by an estimated 2.3 percentage points.</w:t>
      </w:r>
    </w:p>
    <w:p>
      <w:pPr>
        <w:pStyle w:val="BodyText"/>
        <w:spacing w:before="17"/>
      </w:pPr>
    </w:p>
    <w:p>
      <w:pPr>
        <w:spacing w:before="0"/>
        <w:ind w:left="120" w:right="0" w:firstLine="0"/>
        <w:jc w:val="left"/>
        <w:rPr>
          <w:sz w:val="24"/>
        </w:rPr>
      </w:pPr>
      <w:r>
        <w:rPr>
          <w:sz w:val="24"/>
        </w:rPr>
        <w:t>--</w:t>
      </w:r>
      <w:r>
        <w:rPr>
          <w:spacing w:val="-10"/>
          <w:sz w:val="24"/>
        </w:rPr>
        <w:t>-</w:t>
      </w:r>
    </w:p>
    <w:p>
      <w:pPr>
        <w:spacing w:after="0"/>
        <w:jc w:val="left"/>
        <w:rPr>
          <w:sz w:val="24"/>
        </w:rPr>
        <w:sectPr>
          <w:type w:val="continuous"/>
          <w:pgSz w:w="12240" w:h="15840"/>
          <w:pgMar w:top="1520" w:bottom="280" w:left="1440" w:right="0"/>
        </w:sectPr>
      </w:pPr>
    </w:p>
    <w:p>
      <w:pPr>
        <w:pStyle w:val="Heading1"/>
        <w:spacing w:before="122"/>
        <w:ind w:left="120" w:firstLine="0"/>
      </w:pPr>
      <w:r>
        <w:rPr/>
        <w:t>TABLE OF </w:t>
      </w:r>
      <w:r>
        <w:rPr>
          <w:spacing w:val="-2"/>
        </w:rPr>
        <w:t>CONTENTS</w:t>
      </w:r>
    </w:p>
    <w:p>
      <w:pPr>
        <w:pStyle w:val="BodyText"/>
        <w:spacing w:before="4"/>
        <w:rPr>
          <w:rFonts w:ascii="Arial"/>
          <w:b/>
          <w:sz w:val="36"/>
        </w:rPr>
      </w:pPr>
    </w:p>
    <w:p>
      <w:pPr>
        <w:pStyle w:val="ListParagraph"/>
        <w:numPr>
          <w:ilvl w:val="0"/>
          <w:numId w:val="2"/>
        </w:numPr>
        <w:tabs>
          <w:tab w:pos="386" w:val="left" w:leader="none"/>
        </w:tabs>
        <w:spacing w:line="240" w:lineRule="auto" w:before="1" w:after="0"/>
        <w:ind w:left="386" w:right="0" w:hanging="266"/>
        <w:jc w:val="left"/>
        <w:rPr>
          <w:sz w:val="24"/>
        </w:rPr>
      </w:pPr>
      <w:r>
        <w:rPr>
          <w:spacing w:val="-2"/>
          <w:sz w:val="24"/>
        </w:rPr>
        <w:t>Introduction</w:t>
      </w:r>
    </w:p>
    <w:p>
      <w:pPr>
        <w:pStyle w:val="ListParagraph"/>
        <w:numPr>
          <w:ilvl w:val="1"/>
          <w:numId w:val="2"/>
        </w:numPr>
        <w:tabs>
          <w:tab w:pos="266" w:val="left" w:leader="none"/>
        </w:tabs>
        <w:spacing w:line="240" w:lineRule="auto" w:before="84" w:after="0"/>
        <w:ind w:left="266" w:right="0" w:hanging="146"/>
        <w:jc w:val="left"/>
        <w:rPr>
          <w:sz w:val="24"/>
        </w:rPr>
      </w:pPr>
      <w:r>
        <w:rPr>
          <w:sz w:val="24"/>
        </w:rPr>
        <w:t>1.1 Background of the </w:t>
      </w:r>
      <w:r>
        <w:rPr>
          <w:spacing w:val="-2"/>
          <w:sz w:val="24"/>
        </w:rPr>
        <w:t>Study</w:t>
      </w:r>
    </w:p>
    <w:p>
      <w:pPr>
        <w:pStyle w:val="ListParagraph"/>
        <w:numPr>
          <w:ilvl w:val="1"/>
          <w:numId w:val="2"/>
        </w:numPr>
        <w:tabs>
          <w:tab w:pos="266" w:val="left" w:leader="none"/>
        </w:tabs>
        <w:spacing w:line="240" w:lineRule="auto" w:before="84" w:after="0"/>
        <w:ind w:left="266" w:right="0" w:hanging="146"/>
        <w:jc w:val="left"/>
        <w:rPr>
          <w:sz w:val="24"/>
        </w:rPr>
      </w:pPr>
      <w:r>
        <w:rPr>
          <w:sz w:val="24"/>
        </w:rPr>
        <w:t>1.2 Problem </w:t>
      </w:r>
      <w:r>
        <w:rPr>
          <w:spacing w:val="-2"/>
          <w:sz w:val="24"/>
        </w:rPr>
        <w:t>Statement</w:t>
      </w:r>
    </w:p>
    <w:p>
      <w:pPr>
        <w:pStyle w:val="ListParagraph"/>
        <w:numPr>
          <w:ilvl w:val="1"/>
          <w:numId w:val="2"/>
        </w:numPr>
        <w:tabs>
          <w:tab w:pos="266" w:val="left" w:leader="none"/>
        </w:tabs>
        <w:spacing w:line="240" w:lineRule="auto" w:before="84" w:after="0"/>
        <w:ind w:left="266" w:right="0" w:hanging="146"/>
        <w:jc w:val="left"/>
        <w:rPr>
          <w:sz w:val="24"/>
        </w:rPr>
      </w:pPr>
      <w:r>
        <w:rPr>
          <w:sz w:val="24"/>
        </w:rPr>
        <w:t>1.3 Objectives of the </w:t>
      </w:r>
      <w:r>
        <w:rPr>
          <w:spacing w:val="-2"/>
          <w:sz w:val="24"/>
        </w:rPr>
        <w:t>Study</w:t>
      </w:r>
    </w:p>
    <w:p>
      <w:pPr>
        <w:pStyle w:val="ListParagraph"/>
        <w:numPr>
          <w:ilvl w:val="1"/>
          <w:numId w:val="2"/>
        </w:numPr>
        <w:tabs>
          <w:tab w:pos="266" w:val="left" w:leader="none"/>
        </w:tabs>
        <w:spacing w:line="240" w:lineRule="auto" w:before="84" w:after="0"/>
        <w:ind w:left="266" w:right="0" w:hanging="146"/>
        <w:jc w:val="left"/>
        <w:rPr>
          <w:sz w:val="24"/>
        </w:rPr>
      </w:pPr>
      <w:r>
        <w:rPr>
          <w:sz w:val="24"/>
        </w:rPr>
        <w:t>1.4 Significance of the </w:t>
      </w:r>
      <w:r>
        <w:rPr>
          <w:spacing w:val="-2"/>
          <w:sz w:val="24"/>
        </w:rPr>
        <w:t>Study</w:t>
      </w:r>
    </w:p>
    <w:p>
      <w:pPr>
        <w:pStyle w:val="ListParagraph"/>
        <w:numPr>
          <w:ilvl w:val="1"/>
          <w:numId w:val="2"/>
        </w:numPr>
        <w:tabs>
          <w:tab w:pos="266" w:val="left" w:leader="none"/>
        </w:tabs>
        <w:spacing w:line="240" w:lineRule="auto" w:before="84" w:after="0"/>
        <w:ind w:left="266" w:right="0" w:hanging="146"/>
        <w:jc w:val="left"/>
        <w:rPr>
          <w:sz w:val="24"/>
        </w:rPr>
      </w:pPr>
      <w:r>
        <w:rPr>
          <w:sz w:val="24"/>
        </w:rPr>
        <w:t>1.5 Scope and </w:t>
      </w:r>
      <w:r>
        <w:rPr>
          <w:spacing w:val="-2"/>
          <w:sz w:val="24"/>
        </w:rPr>
        <w:t>Limitations</w:t>
      </w:r>
    </w:p>
    <w:p>
      <w:pPr>
        <w:pStyle w:val="BodyText"/>
        <w:spacing w:before="8"/>
      </w:pPr>
    </w:p>
    <w:p>
      <w:pPr>
        <w:pStyle w:val="ListParagraph"/>
        <w:numPr>
          <w:ilvl w:val="0"/>
          <w:numId w:val="2"/>
        </w:numPr>
        <w:tabs>
          <w:tab w:pos="386" w:val="left" w:leader="none"/>
        </w:tabs>
        <w:spacing w:line="240" w:lineRule="auto" w:before="0" w:after="0"/>
        <w:ind w:left="386" w:right="0" w:hanging="266"/>
        <w:jc w:val="left"/>
        <w:rPr>
          <w:sz w:val="24"/>
        </w:rPr>
      </w:pPr>
      <w:r>
        <w:rPr>
          <w:sz w:val="24"/>
        </w:rPr>
        <w:t>Company </w:t>
      </w:r>
      <w:r>
        <w:rPr>
          <w:spacing w:val="-2"/>
          <w:sz w:val="24"/>
        </w:rPr>
        <w:t>Profile</w:t>
      </w:r>
    </w:p>
    <w:p>
      <w:pPr>
        <w:pStyle w:val="ListParagraph"/>
        <w:numPr>
          <w:ilvl w:val="1"/>
          <w:numId w:val="2"/>
        </w:numPr>
        <w:tabs>
          <w:tab w:pos="266" w:val="left" w:leader="none"/>
        </w:tabs>
        <w:spacing w:line="240" w:lineRule="auto" w:before="84" w:after="0"/>
        <w:ind w:left="266" w:right="0" w:hanging="146"/>
        <w:jc w:val="left"/>
        <w:rPr>
          <w:sz w:val="24"/>
        </w:rPr>
      </w:pPr>
      <w:r>
        <w:rPr>
          <w:sz w:val="24"/>
        </w:rPr>
        <w:t>2.1 Overview of Reliance Industries </w:t>
      </w:r>
      <w:r>
        <w:rPr>
          <w:spacing w:val="-2"/>
          <w:sz w:val="24"/>
        </w:rPr>
        <w:t>Limited</w:t>
      </w:r>
    </w:p>
    <w:p>
      <w:pPr>
        <w:pStyle w:val="ListParagraph"/>
        <w:numPr>
          <w:ilvl w:val="1"/>
          <w:numId w:val="2"/>
        </w:numPr>
        <w:tabs>
          <w:tab w:pos="266" w:val="left" w:leader="none"/>
        </w:tabs>
        <w:spacing w:line="240" w:lineRule="auto" w:before="84" w:after="0"/>
        <w:ind w:left="266" w:right="0" w:hanging="146"/>
        <w:jc w:val="left"/>
        <w:rPr>
          <w:sz w:val="24"/>
        </w:rPr>
      </w:pPr>
      <w:r>
        <w:rPr>
          <w:sz w:val="24"/>
        </w:rPr>
        <w:t>2.2 Business </w:t>
      </w:r>
      <w:r>
        <w:rPr>
          <w:spacing w:val="-2"/>
          <w:sz w:val="24"/>
        </w:rPr>
        <w:t>Segments</w:t>
      </w:r>
    </w:p>
    <w:p>
      <w:pPr>
        <w:pStyle w:val="ListParagraph"/>
        <w:numPr>
          <w:ilvl w:val="1"/>
          <w:numId w:val="2"/>
        </w:numPr>
        <w:tabs>
          <w:tab w:pos="266" w:val="left" w:leader="none"/>
        </w:tabs>
        <w:spacing w:line="240" w:lineRule="auto" w:before="84" w:after="0"/>
        <w:ind w:left="266" w:right="0" w:hanging="146"/>
        <w:jc w:val="left"/>
        <w:rPr>
          <w:sz w:val="24"/>
        </w:rPr>
      </w:pPr>
      <w:r>
        <w:rPr>
          <w:sz w:val="24"/>
        </w:rPr>
        <w:t>2.3 Financial </w:t>
      </w:r>
      <w:r>
        <w:rPr>
          <w:spacing w:val="-2"/>
          <w:sz w:val="24"/>
        </w:rPr>
        <w:t>Overview</w:t>
      </w:r>
    </w:p>
    <w:p>
      <w:pPr>
        <w:pStyle w:val="ListParagraph"/>
        <w:numPr>
          <w:ilvl w:val="1"/>
          <w:numId w:val="2"/>
        </w:numPr>
        <w:tabs>
          <w:tab w:pos="266" w:val="left" w:leader="none"/>
        </w:tabs>
        <w:spacing w:line="240" w:lineRule="auto" w:before="84" w:after="0"/>
        <w:ind w:left="266" w:right="0" w:hanging="146"/>
        <w:jc w:val="left"/>
        <w:rPr>
          <w:sz w:val="24"/>
        </w:rPr>
      </w:pPr>
      <w:r>
        <w:rPr>
          <w:sz w:val="24"/>
        </w:rPr>
        <w:t>2.4 Strategic </w:t>
      </w:r>
      <w:r>
        <w:rPr>
          <w:spacing w:val="-2"/>
          <w:sz w:val="24"/>
        </w:rPr>
        <w:t>Direction</w:t>
      </w:r>
    </w:p>
    <w:p>
      <w:pPr>
        <w:pStyle w:val="BodyText"/>
        <w:spacing w:before="8"/>
      </w:pPr>
    </w:p>
    <w:p>
      <w:pPr>
        <w:pStyle w:val="ListParagraph"/>
        <w:numPr>
          <w:ilvl w:val="0"/>
          <w:numId w:val="2"/>
        </w:numPr>
        <w:tabs>
          <w:tab w:pos="386" w:val="left" w:leader="none"/>
        </w:tabs>
        <w:spacing w:line="240" w:lineRule="auto" w:before="0" w:after="0"/>
        <w:ind w:left="386" w:right="0" w:hanging="266"/>
        <w:jc w:val="left"/>
        <w:rPr>
          <w:sz w:val="24"/>
        </w:rPr>
      </w:pPr>
      <w:r>
        <w:rPr>
          <w:sz w:val="24"/>
        </w:rPr>
        <w:t>Theoretical </w:t>
      </w:r>
      <w:r>
        <w:rPr>
          <w:spacing w:val="-2"/>
          <w:sz w:val="24"/>
        </w:rPr>
        <w:t>Framework</w:t>
      </w:r>
    </w:p>
    <w:p>
      <w:pPr>
        <w:pStyle w:val="ListParagraph"/>
        <w:numPr>
          <w:ilvl w:val="1"/>
          <w:numId w:val="2"/>
        </w:numPr>
        <w:tabs>
          <w:tab w:pos="266" w:val="left" w:leader="none"/>
        </w:tabs>
        <w:spacing w:line="240" w:lineRule="auto" w:before="84" w:after="0"/>
        <w:ind w:left="266" w:right="0" w:hanging="146"/>
        <w:jc w:val="left"/>
        <w:rPr>
          <w:sz w:val="24"/>
        </w:rPr>
      </w:pPr>
      <w:r>
        <w:rPr>
          <w:sz w:val="24"/>
        </w:rPr>
        <w:t>3.1 Working Capital </w:t>
      </w:r>
      <w:r>
        <w:rPr>
          <w:spacing w:val="-2"/>
          <w:sz w:val="24"/>
        </w:rPr>
        <w:t>Concepts</w:t>
      </w:r>
    </w:p>
    <w:p>
      <w:pPr>
        <w:pStyle w:val="ListParagraph"/>
        <w:numPr>
          <w:ilvl w:val="1"/>
          <w:numId w:val="2"/>
        </w:numPr>
        <w:tabs>
          <w:tab w:pos="266" w:val="left" w:leader="none"/>
        </w:tabs>
        <w:spacing w:line="240" w:lineRule="auto" w:before="84" w:after="0"/>
        <w:ind w:left="266" w:right="0" w:hanging="146"/>
        <w:jc w:val="left"/>
        <w:rPr>
          <w:sz w:val="24"/>
        </w:rPr>
      </w:pPr>
      <w:r>
        <w:rPr>
          <w:sz w:val="24"/>
        </w:rPr>
        <w:t>3.2 Working Capital Management </w:t>
      </w:r>
      <w:r>
        <w:rPr>
          <w:spacing w:val="-2"/>
          <w:sz w:val="24"/>
        </w:rPr>
        <w:t>Strategies</w:t>
      </w:r>
    </w:p>
    <w:p>
      <w:pPr>
        <w:pStyle w:val="ListParagraph"/>
        <w:numPr>
          <w:ilvl w:val="1"/>
          <w:numId w:val="2"/>
        </w:numPr>
        <w:tabs>
          <w:tab w:pos="266" w:val="left" w:leader="none"/>
        </w:tabs>
        <w:spacing w:line="240" w:lineRule="auto" w:before="84" w:after="0"/>
        <w:ind w:left="266" w:right="0" w:hanging="146"/>
        <w:jc w:val="left"/>
        <w:rPr>
          <w:sz w:val="24"/>
        </w:rPr>
      </w:pPr>
      <w:r>
        <w:rPr>
          <w:sz w:val="24"/>
        </w:rPr>
        <w:t>3.3 Key Performance </w:t>
      </w:r>
      <w:r>
        <w:rPr>
          <w:spacing w:val="-2"/>
          <w:sz w:val="24"/>
        </w:rPr>
        <w:t>Indicators</w:t>
      </w:r>
    </w:p>
    <w:p>
      <w:pPr>
        <w:pStyle w:val="ListParagraph"/>
        <w:numPr>
          <w:ilvl w:val="1"/>
          <w:numId w:val="2"/>
        </w:numPr>
        <w:tabs>
          <w:tab w:pos="266" w:val="left" w:leader="none"/>
        </w:tabs>
        <w:spacing w:line="240" w:lineRule="auto" w:before="84" w:after="0"/>
        <w:ind w:left="266" w:right="0" w:hanging="146"/>
        <w:jc w:val="left"/>
        <w:rPr>
          <w:sz w:val="24"/>
        </w:rPr>
      </w:pPr>
      <w:r>
        <w:rPr>
          <w:sz w:val="24"/>
        </w:rPr>
        <w:t>3.4 Industry-Specific </w:t>
      </w:r>
      <w:r>
        <w:rPr>
          <w:spacing w:val="-2"/>
          <w:sz w:val="24"/>
        </w:rPr>
        <w:t>Considerations</w:t>
      </w:r>
    </w:p>
    <w:p>
      <w:pPr>
        <w:pStyle w:val="BodyText"/>
        <w:spacing w:before="8"/>
      </w:pPr>
    </w:p>
    <w:p>
      <w:pPr>
        <w:pStyle w:val="ListParagraph"/>
        <w:numPr>
          <w:ilvl w:val="0"/>
          <w:numId w:val="2"/>
        </w:numPr>
        <w:tabs>
          <w:tab w:pos="386" w:val="left" w:leader="none"/>
        </w:tabs>
        <w:spacing w:line="240" w:lineRule="auto" w:before="0" w:after="0"/>
        <w:ind w:left="386" w:right="0" w:hanging="266"/>
        <w:jc w:val="left"/>
        <w:rPr>
          <w:sz w:val="24"/>
        </w:rPr>
      </w:pPr>
      <w:r>
        <w:rPr>
          <w:sz w:val="24"/>
        </w:rPr>
        <w:t>Research </w:t>
      </w:r>
      <w:r>
        <w:rPr>
          <w:spacing w:val="-2"/>
          <w:sz w:val="24"/>
        </w:rPr>
        <w:t>Methodology</w:t>
      </w:r>
    </w:p>
    <w:p>
      <w:pPr>
        <w:pStyle w:val="ListParagraph"/>
        <w:numPr>
          <w:ilvl w:val="1"/>
          <w:numId w:val="2"/>
        </w:numPr>
        <w:tabs>
          <w:tab w:pos="266" w:val="left" w:leader="none"/>
        </w:tabs>
        <w:spacing w:line="240" w:lineRule="auto" w:before="84" w:after="0"/>
        <w:ind w:left="266" w:right="0" w:hanging="146"/>
        <w:jc w:val="left"/>
        <w:rPr>
          <w:sz w:val="24"/>
        </w:rPr>
      </w:pPr>
      <w:r>
        <w:rPr>
          <w:sz w:val="24"/>
        </w:rPr>
        <w:t>4.1 Research </w:t>
      </w:r>
      <w:r>
        <w:rPr>
          <w:spacing w:val="-2"/>
          <w:sz w:val="24"/>
        </w:rPr>
        <w:t>Design</w:t>
      </w:r>
    </w:p>
    <w:p>
      <w:pPr>
        <w:pStyle w:val="ListParagraph"/>
        <w:numPr>
          <w:ilvl w:val="1"/>
          <w:numId w:val="2"/>
        </w:numPr>
        <w:tabs>
          <w:tab w:pos="266" w:val="left" w:leader="none"/>
        </w:tabs>
        <w:spacing w:line="240" w:lineRule="auto" w:before="84" w:after="0"/>
        <w:ind w:left="266" w:right="0" w:hanging="146"/>
        <w:jc w:val="left"/>
        <w:rPr>
          <w:sz w:val="24"/>
        </w:rPr>
      </w:pPr>
      <w:r>
        <w:rPr>
          <w:sz w:val="24"/>
        </w:rPr>
        <w:t>4.2 Data </w:t>
      </w:r>
      <w:r>
        <w:rPr>
          <w:spacing w:val="-2"/>
          <w:sz w:val="24"/>
        </w:rPr>
        <w:t>Collection</w:t>
      </w:r>
    </w:p>
    <w:p>
      <w:pPr>
        <w:pStyle w:val="ListParagraph"/>
        <w:numPr>
          <w:ilvl w:val="1"/>
          <w:numId w:val="2"/>
        </w:numPr>
        <w:tabs>
          <w:tab w:pos="266" w:val="left" w:leader="none"/>
        </w:tabs>
        <w:spacing w:line="240" w:lineRule="auto" w:before="84" w:after="0"/>
        <w:ind w:left="266" w:right="0" w:hanging="146"/>
        <w:jc w:val="left"/>
        <w:rPr>
          <w:sz w:val="24"/>
        </w:rPr>
      </w:pPr>
      <w:r>
        <w:rPr>
          <w:sz w:val="24"/>
        </w:rPr>
        <w:t>4.3 Analytical </w:t>
      </w:r>
      <w:r>
        <w:rPr>
          <w:spacing w:val="-2"/>
          <w:sz w:val="24"/>
        </w:rPr>
        <w:t>Framework</w:t>
      </w:r>
    </w:p>
    <w:p>
      <w:pPr>
        <w:pStyle w:val="ListParagraph"/>
        <w:numPr>
          <w:ilvl w:val="1"/>
          <w:numId w:val="2"/>
        </w:numPr>
        <w:tabs>
          <w:tab w:pos="266" w:val="left" w:leader="none"/>
        </w:tabs>
        <w:spacing w:line="240" w:lineRule="auto" w:before="84" w:after="0"/>
        <w:ind w:left="266" w:right="0" w:hanging="146"/>
        <w:jc w:val="left"/>
        <w:rPr>
          <w:sz w:val="24"/>
        </w:rPr>
      </w:pPr>
      <w:r>
        <w:rPr>
          <w:sz w:val="24"/>
        </w:rPr>
        <w:t>4.4 Statistical Tools and </w:t>
      </w:r>
      <w:r>
        <w:rPr>
          <w:spacing w:val="-2"/>
          <w:sz w:val="24"/>
        </w:rPr>
        <w:t>Techniques</w:t>
      </w:r>
    </w:p>
    <w:p>
      <w:pPr>
        <w:pStyle w:val="ListParagraph"/>
        <w:numPr>
          <w:ilvl w:val="1"/>
          <w:numId w:val="2"/>
        </w:numPr>
        <w:tabs>
          <w:tab w:pos="266" w:val="left" w:leader="none"/>
        </w:tabs>
        <w:spacing w:line="240" w:lineRule="auto" w:before="84" w:after="0"/>
        <w:ind w:left="266" w:right="0" w:hanging="146"/>
        <w:jc w:val="left"/>
        <w:rPr>
          <w:sz w:val="24"/>
        </w:rPr>
      </w:pPr>
      <w:r>
        <w:rPr>
          <w:sz w:val="24"/>
        </w:rPr>
        <w:t>4.5 Limitations of the </w:t>
      </w:r>
      <w:r>
        <w:rPr>
          <w:spacing w:val="-2"/>
          <w:sz w:val="24"/>
        </w:rPr>
        <w:t>Study</w:t>
      </w:r>
    </w:p>
    <w:p>
      <w:pPr>
        <w:pStyle w:val="BodyText"/>
        <w:spacing w:before="8"/>
      </w:pPr>
    </w:p>
    <w:p>
      <w:pPr>
        <w:pStyle w:val="ListParagraph"/>
        <w:numPr>
          <w:ilvl w:val="0"/>
          <w:numId w:val="2"/>
        </w:numPr>
        <w:tabs>
          <w:tab w:pos="386" w:val="left" w:leader="none"/>
        </w:tabs>
        <w:spacing w:line="240" w:lineRule="auto" w:before="0" w:after="0"/>
        <w:ind w:left="386" w:right="0" w:hanging="266"/>
        <w:jc w:val="left"/>
        <w:rPr>
          <w:sz w:val="24"/>
        </w:rPr>
      </w:pPr>
      <w:r>
        <w:rPr>
          <w:sz w:val="24"/>
        </w:rPr>
        <w:t>Data Analysis and </w:t>
      </w:r>
      <w:r>
        <w:rPr>
          <w:spacing w:val="-2"/>
          <w:sz w:val="24"/>
        </w:rPr>
        <w:t>Findings</w:t>
      </w:r>
    </w:p>
    <w:p>
      <w:pPr>
        <w:pStyle w:val="ListParagraph"/>
        <w:numPr>
          <w:ilvl w:val="1"/>
          <w:numId w:val="2"/>
        </w:numPr>
        <w:tabs>
          <w:tab w:pos="266" w:val="left" w:leader="none"/>
        </w:tabs>
        <w:spacing w:line="240" w:lineRule="auto" w:before="84" w:after="0"/>
        <w:ind w:left="266" w:right="0" w:hanging="146"/>
        <w:jc w:val="left"/>
        <w:rPr>
          <w:sz w:val="24"/>
        </w:rPr>
      </w:pPr>
      <w:r>
        <w:rPr>
          <w:sz w:val="24"/>
        </w:rPr>
        <w:t>5.1 Analysis of Working Capital </w:t>
      </w:r>
      <w:r>
        <w:rPr>
          <w:spacing w:val="-2"/>
          <w:sz w:val="24"/>
        </w:rPr>
        <w:t>Components</w:t>
      </w:r>
    </w:p>
    <w:p>
      <w:pPr>
        <w:pStyle w:val="ListParagraph"/>
        <w:numPr>
          <w:ilvl w:val="1"/>
          <w:numId w:val="2"/>
        </w:numPr>
        <w:tabs>
          <w:tab w:pos="266" w:val="left" w:leader="none"/>
        </w:tabs>
        <w:spacing w:line="240" w:lineRule="auto" w:before="84" w:after="0"/>
        <w:ind w:left="266" w:right="0" w:hanging="146"/>
        <w:jc w:val="left"/>
        <w:rPr>
          <w:sz w:val="24"/>
        </w:rPr>
      </w:pPr>
      <w:r>
        <w:rPr>
          <w:sz w:val="24"/>
        </w:rPr>
        <w:t>5.2 Working Capital Metrics </w:t>
      </w:r>
      <w:r>
        <w:rPr>
          <w:spacing w:val="-2"/>
          <w:sz w:val="24"/>
        </w:rPr>
        <w:t>Analysis</w:t>
      </w:r>
    </w:p>
    <w:p>
      <w:pPr>
        <w:pStyle w:val="ListParagraph"/>
        <w:numPr>
          <w:ilvl w:val="1"/>
          <w:numId w:val="2"/>
        </w:numPr>
        <w:tabs>
          <w:tab w:pos="266" w:val="left" w:leader="none"/>
        </w:tabs>
        <w:spacing w:line="240" w:lineRule="auto" w:before="84" w:after="0"/>
        <w:ind w:left="266" w:right="0" w:hanging="146"/>
        <w:jc w:val="left"/>
        <w:rPr>
          <w:sz w:val="24"/>
        </w:rPr>
      </w:pPr>
      <w:r>
        <w:rPr>
          <w:sz w:val="24"/>
        </w:rPr>
        <w:t>5.3 Segment-wise Working Capital </w:t>
      </w:r>
      <w:r>
        <w:rPr>
          <w:spacing w:val="-2"/>
          <w:sz w:val="24"/>
        </w:rPr>
        <w:t>Analysis</w:t>
      </w:r>
    </w:p>
    <w:p>
      <w:pPr>
        <w:pStyle w:val="ListParagraph"/>
        <w:numPr>
          <w:ilvl w:val="1"/>
          <w:numId w:val="2"/>
        </w:numPr>
        <w:tabs>
          <w:tab w:pos="266" w:val="left" w:leader="none"/>
        </w:tabs>
        <w:spacing w:line="240" w:lineRule="auto" w:before="84" w:after="0"/>
        <w:ind w:left="266" w:right="0" w:hanging="146"/>
        <w:jc w:val="left"/>
        <w:rPr>
          <w:sz w:val="24"/>
        </w:rPr>
      </w:pPr>
      <w:r>
        <w:rPr>
          <w:sz w:val="24"/>
        </w:rPr>
        <w:t>5.4 Comparative Analysis with Industry </w:t>
      </w:r>
      <w:r>
        <w:rPr>
          <w:spacing w:val="-2"/>
          <w:sz w:val="24"/>
        </w:rPr>
        <w:t>Peers</w:t>
      </w:r>
    </w:p>
    <w:p>
      <w:pPr>
        <w:pStyle w:val="ListParagraph"/>
        <w:numPr>
          <w:ilvl w:val="1"/>
          <w:numId w:val="2"/>
        </w:numPr>
        <w:tabs>
          <w:tab w:pos="266" w:val="left" w:leader="none"/>
        </w:tabs>
        <w:spacing w:line="240" w:lineRule="auto" w:before="84" w:after="0"/>
        <w:ind w:left="266" w:right="0" w:hanging="146"/>
        <w:jc w:val="left"/>
        <w:rPr>
          <w:sz w:val="24"/>
        </w:rPr>
      </w:pPr>
      <w:r>
        <w:rPr>
          <w:sz w:val="24"/>
        </w:rPr>
        <w:t>5.5 Statistical </w:t>
      </w:r>
      <w:r>
        <w:rPr>
          <w:spacing w:val="-2"/>
          <w:sz w:val="24"/>
        </w:rPr>
        <w:t>Analysis</w:t>
      </w:r>
    </w:p>
    <w:p>
      <w:pPr>
        <w:pStyle w:val="BodyText"/>
        <w:spacing w:before="8"/>
      </w:pPr>
    </w:p>
    <w:p>
      <w:pPr>
        <w:pStyle w:val="ListParagraph"/>
        <w:numPr>
          <w:ilvl w:val="0"/>
          <w:numId w:val="2"/>
        </w:numPr>
        <w:tabs>
          <w:tab w:pos="386" w:val="left" w:leader="none"/>
        </w:tabs>
        <w:spacing w:line="240" w:lineRule="auto" w:before="0" w:after="0"/>
        <w:ind w:left="386" w:right="0" w:hanging="266"/>
        <w:jc w:val="left"/>
        <w:rPr>
          <w:sz w:val="24"/>
        </w:rPr>
      </w:pPr>
      <w:r>
        <w:rPr>
          <w:sz w:val="24"/>
        </w:rPr>
        <w:t>Discussion and </w:t>
      </w:r>
      <w:r>
        <w:rPr>
          <w:spacing w:val="-2"/>
          <w:sz w:val="24"/>
        </w:rPr>
        <w:t>Interpretation</w:t>
      </w:r>
    </w:p>
    <w:p>
      <w:pPr>
        <w:pStyle w:val="ListParagraph"/>
        <w:spacing w:after="0" w:line="240" w:lineRule="auto"/>
        <w:jc w:val="left"/>
        <w:rPr>
          <w:sz w:val="24"/>
        </w:rPr>
        <w:sectPr>
          <w:pgSz w:w="12240" w:h="15840"/>
          <w:pgMar w:top="1820" w:bottom="280" w:left="1440" w:right="0"/>
        </w:sectPr>
      </w:pPr>
    </w:p>
    <w:p>
      <w:pPr>
        <w:pStyle w:val="ListParagraph"/>
        <w:numPr>
          <w:ilvl w:val="1"/>
          <w:numId w:val="2"/>
        </w:numPr>
        <w:tabs>
          <w:tab w:pos="266" w:val="left" w:leader="none"/>
        </w:tabs>
        <w:spacing w:line="240" w:lineRule="auto" w:before="75" w:after="0"/>
        <w:ind w:left="266" w:right="0" w:hanging="146"/>
        <w:jc w:val="left"/>
        <w:rPr>
          <w:sz w:val="24"/>
        </w:rPr>
      </w:pPr>
      <w:r>
        <w:rPr>
          <w:sz w:val="24"/>
        </w:rPr>
        <w:t>6.1 Working Capital Trends and </w:t>
      </w:r>
      <w:r>
        <w:rPr>
          <w:spacing w:val="-2"/>
          <w:sz w:val="24"/>
        </w:rPr>
        <w:t>Patterns</w:t>
      </w:r>
    </w:p>
    <w:p>
      <w:pPr>
        <w:pStyle w:val="ListParagraph"/>
        <w:numPr>
          <w:ilvl w:val="1"/>
          <w:numId w:val="2"/>
        </w:numPr>
        <w:tabs>
          <w:tab w:pos="266" w:val="left" w:leader="none"/>
        </w:tabs>
        <w:spacing w:line="240" w:lineRule="auto" w:before="84" w:after="0"/>
        <w:ind w:left="266" w:right="0" w:hanging="146"/>
        <w:jc w:val="left"/>
        <w:rPr>
          <w:sz w:val="24"/>
        </w:rPr>
      </w:pPr>
      <w:r>
        <w:rPr>
          <w:sz w:val="24"/>
        </w:rPr>
        <w:t>6.2 Impact of Business </w:t>
      </w:r>
      <w:r>
        <w:rPr>
          <w:spacing w:val="-2"/>
          <w:sz w:val="24"/>
        </w:rPr>
        <w:t>Diversification</w:t>
      </w:r>
    </w:p>
    <w:p>
      <w:pPr>
        <w:pStyle w:val="ListParagraph"/>
        <w:numPr>
          <w:ilvl w:val="1"/>
          <w:numId w:val="2"/>
        </w:numPr>
        <w:tabs>
          <w:tab w:pos="266" w:val="left" w:leader="none"/>
        </w:tabs>
        <w:spacing w:line="240" w:lineRule="auto" w:before="84" w:after="0"/>
        <w:ind w:left="266" w:right="0" w:hanging="146"/>
        <w:jc w:val="left"/>
        <w:rPr>
          <w:sz w:val="24"/>
        </w:rPr>
      </w:pPr>
      <w:r>
        <w:rPr>
          <w:sz w:val="24"/>
        </w:rPr>
        <w:t>6.3 Working Capital Management </w:t>
      </w:r>
      <w:r>
        <w:rPr>
          <w:spacing w:val="-2"/>
          <w:sz w:val="24"/>
        </w:rPr>
        <w:t>Strategies</w:t>
      </w:r>
    </w:p>
    <w:p>
      <w:pPr>
        <w:pStyle w:val="ListParagraph"/>
        <w:numPr>
          <w:ilvl w:val="1"/>
          <w:numId w:val="2"/>
        </w:numPr>
        <w:tabs>
          <w:tab w:pos="266" w:val="left" w:leader="none"/>
        </w:tabs>
        <w:spacing w:line="240" w:lineRule="auto" w:before="84" w:after="0"/>
        <w:ind w:left="266" w:right="0" w:hanging="146"/>
        <w:jc w:val="left"/>
        <w:rPr>
          <w:sz w:val="24"/>
        </w:rPr>
      </w:pPr>
      <w:r>
        <w:rPr>
          <w:sz w:val="24"/>
        </w:rPr>
        <w:t>6.4 Correlation with Financial </w:t>
      </w:r>
      <w:r>
        <w:rPr>
          <w:spacing w:val="-2"/>
          <w:sz w:val="24"/>
        </w:rPr>
        <w:t>Performance</w:t>
      </w:r>
    </w:p>
    <w:p>
      <w:pPr>
        <w:pStyle w:val="ListParagraph"/>
        <w:numPr>
          <w:ilvl w:val="1"/>
          <w:numId w:val="2"/>
        </w:numPr>
        <w:tabs>
          <w:tab w:pos="266" w:val="left" w:leader="none"/>
        </w:tabs>
        <w:spacing w:line="240" w:lineRule="auto" w:before="84" w:after="0"/>
        <w:ind w:left="266" w:right="0" w:hanging="146"/>
        <w:jc w:val="left"/>
        <w:rPr>
          <w:sz w:val="24"/>
        </w:rPr>
      </w:pPr>
      <w:r>
        <w:rPr>
          <w:sz w:val="24"/>
        </w:rPr>
        <w:t>6.5 Critical </w:t>
      </w:r>
      <w:r>
        <w:rPr>
          <w:spacing w:val="-2"/>
          <w:sz w:val="24"/>
        </w:rPr>
        <w:t>Evaluation</w:t>
      </w:r>
    </w:p>
    <w:p>
      <w:pPr>
        <w:pStyle w:val="BodyText"/>
        <w:spacing w:before="8"/>
      </w:pPr>
    </w:p>
    <w:p>
      <w:pPr>
        <w:pStyle w:val="ListParagraph"/>
        <w:numPr>
          <w:ilvl w:val="0"/>
          <w:numId w:val="2"/>
        </w:numPr>
        <w:tabs>
          <w:tab w:pos="386" w:val="left" w:leader="none"/>
        </w:tabs>
        <w:spacing w:line="240" w:lineRule="auto" w:before="0" w:after="0"/>
        <w:ind w:left="386" w:right="0" w:hanging="266"/>
        <w:jc w:val="left"/>
        <w:rPr>
          <w:sz w:val="24"/>
        </w:rPr>
      </w:pPr>
      <w:r>
        <w:rPr>
          <w:spacing w:val="-2"/>
          <w:sz w:val="24"/>
        </w:rPr>
        <w:t>Recommendations</w:t>
      </w:r>
    </w:p>
    <w:p>
      <w:pPr>
        <w:pStyle w:val="ListParagraph"/>
        <w:numPr>
          <w:ilvl w:val="1"/>
          <w:numId w:val="2"/>
        </w:numPr>
        <w:tabs>
          <w:tab w:pos="266" w:val="left" w:leader="none"/>
        </w:tabs>
        <w:spacing w:line="240" w:lineRule="auto" w:before="84" w:after="0"/>
        <w:ind w:left="266" w:right="0" w:hanging="146"/>
        <w:jc w:val="left"/>
        <w:rPr>
          <w:sz w:val="24"/>
        </w:rPr>
      </w:pPr>
      <w:r>
        <w:rPr>
          <w:sz w:val="24"/>
        </w:rPr>
        <w:t>7.1 Optimizing Inventory </w:t>
      </w:r>
      <w:r>
        <w:rPr>
          <w:spacing w:val="-2"/>
          <w:sz w:val="24"/>
        </w:rPr>
        <w:t>Management</w:t>
      </w:r>
    </w:p>
    <w:p>
      <w:pPr>
        <w:pStyle w:val="ListParagraph"/>
        <w:numPr>
          <w:ilvl w:val="1"/>
          <w:numId w:val="2"/>
        </w:numPr>
        <w:tabs>
          <w:tab w:pos="266" w:val="left" w:leader="none"/>
        </w:tabs>
        <w:spacing w:line="240" w:lineRule="auto" w:before="84" w:after="0"/>
        <w:ind w:left="266" w:right="0" w:hanging="146"/>
        <w:jc w:val="left"/>
        <w:rPr>
          <w:sz w:val="24"/>
        </w:rPr>
      </w:pPr>
      <w:r>
        <w:rPr>
          <w:sz w:val="24"/>
        </w:rPr>
        <w:t>7.2 Enhancing Receivables </w:t>
      </w:r>
      <w:r>
        <w:rPr>
          <w:spacing w:val="-2"/>
          <w:sz w:val="24"/>
        </w:rPr>
        <w:t>Management</w:t>
      </w:r>
    </w:p>
    <w:p>
      <w:pPr>
        <w:pStyle w:val="ListParagraph"/>
        <w:numPr>
          <w:ilvl w:val="1"/>
          <w:numId w:val="2"/>
        </w:numPr>
        <w:tabs>
          <w:tab w:pos="266" w:val="left" w:leader="none"/>
        </w:tabs>
        <w:spacing w:line="240" w:lineRule="auto" w:before="84" w:after="0"/>
        <w:ind w:left="266" w:right="0" w:hanging="146"/>
        <w:jc w:val="left"/>
        <w:rPr>
          <w:sz w:val="24"/>
        </w:rPr>
      </w:pPr>
      <w:r>
        <w:rPr>
          <w:sz w:val="24"/>
        </w:rPr>
        <w:t>7.3 Effective Payables </w:t>
      </w:r>
      <w:r>
        <w:rPr>
          <w:spacing w:val="-2"/>
          <w:sz w:val="24"/>
        </w:rPr>
        <w:t>Management</w:t>
      </w:r>
    </w:p>
    <w:p>
      <w:pPr>
        <w:pStyle w:val="ListParagraph"/>
        <w:numPr>
          <w:ilvl w:val="1"/>
          <w:numId w:val="2"/>
        </w:numPr>
        <w:tabs>
          <w:tab w:pos="266" w:val="left" w:leader="none"/>
        </w:tabs>
        <w:spacing w:line="240" w:lineRule="auto" w:before="84" w:after="0"/>
        <w:ind w:left="266" w:right="0" w:hanging="146"/>
        <w:jc w:val="left"/>
        <w:rPr>
          <w:sz w:val="24"/>
        </w:rPr>
      </w:pPr>
      <w:r>
        <w:rPr>
          <w:sz w:val="24"/>
        </w:rPr>
        <w:t>7.4 Cash and Liquidity </w:t>
      </w:r>
      <w:r>
        <w:rPr>
          <w:spacing w:val="-2"/>
          <w:sz w:val="24"/>
        </w:rPr>
        <w:t>Management</w:t>
      </w:r>
    </w:p>
    <w:p>
      <w:pPr>
        <w:pStyle w:val="ListParagraph"/>
        <w:numPr>
          <w:ilvl w:val="1"/>
          <w:numId w:val="2"/>
        </w:numPr>
        <w:tabs>
          <w:tab w:pos="266" w:val="left" w:leader="none"/>
        </w:tabs>
        <w:spacing w:line="240" w:lineRule="auto" w:before="84" w:after="0"/>
        <w:ind w:left="266" w:right="0" w:hanging="146"/>
        <w:jc w:val="left"/>
        <w:rPr>
          <w:sz w:val="24"/>
        </w:rPr>
      </w:pPr>
      <w:r>
        <w:rPr>
          <w:sz w:val="24"/>
        </w:rPr>
        <w:t>7.5 Technology </w:t>
      </w:r>
      <w:r>
        <w:rPr>
          <w:spacing w:val="-2"/>
          <w:sz w:val="24"/>
        </w:rPr>
        <w:t>Integration</w:t>
      </w:r>
    </w:p>
    <w:p>
      <w:pPr>
        <w:pStyle w:val="ListParagraph"/>
        <w:numPr>
          <w:ilvl w:val="1"/>
          <w:numId w:val="2"/>
        </w:numPr>
        <w:tabs>
          <w:tab w:pos="266" w:val="left" w:leader="none"/>
        </w:tabs>
        <w:spacing w:line="240" w:lineRule="auto" w:before="84" w:after="0"/>
        <w:ind w:left="266" w:right="0" w:hanging="146"/>
        <w:jc w:val="left"/>
        <w:rPr>
          <w:sz w:val="24"/>
        </w:rPr>
      </w:pPr>
      <w:r>
        <w:rPr>
          <w:sz w:val="24"/>
        </w:rPr>
        <w:t>7.6 Implementation </w:t>
      </w:r>
      <w:r>
        <w:rPr>
          <w:spacing w:val="-2"/>
          <w:sz w:val="24"/>
        </w:rPr>
        <w:t>Roadmap</w:t>
      </w:r>
    </w:p>
    <w:p>
      <w:pPr>
        <w:pStyle w:val="BodyText"/>
        <w:spacing w:before="8"/>
      </w:pPr>
    </w:p>
    <w:p>
      <w:pPr>
        <w:pStyle w:val="ListParagraph"/>
        <w:numPr>
          <w:ilvl w:val="0"/>
          <w:numId w:val="2"/>
        </w:numPr>
        <w:tabs>
          <w:tab w:pos="386" w:val="left" w:leader="none"/>
        </w:tabs>
        <w:spacing w:line="240" w:lineRule="auto" w:before="0" w:after="0"/>
        <w:ind w:left="386" w:right="0" w:hanging="266"/>
        <w:jc w:val="left"/>
        <w:rPr>
          <w:sz w:val="24"/>
        </w:rPr>
      </w:pPr>
      <w:r>
        <w:rPr>
          <w:spacing w:val="-2"/>
          <w:sz w:val="24"/>
        </w:rPr>
        <w:t>Conclusion</w:t>
      </w:r>
    </w:p>
    <w:p>
      <w:pPr>
        <w:pStyle w:val="BodyText"/>
        <w:spacing w:before="8"/>
      </w:pPr>
    </w:p>
    <w:p>
      <w:pPr>
        <w:pStyle w:val="ListParagraph"/>
        <w:numPr>
          <w:ilvl w:val="0"/>
          <w:numId w:val="2"/>
        </w:numPr>
        <w:tabs>
          <w:tab w:pos="386" w:val="left" w:leader="none"/>
        </w:tabs>
        <w:spacing w:line="240" w:lineRule="auto" w:before="0" w:after="0"/>
        <w:ind w:left="386" w:right="0" w:hanging="266"/>
        <w:jc w:val="left"/>
        <w:rPr>
          <w:sz w:val="24"/>
        </w:rPr>
      </w:pPr>
      <w:r>
        <w:rPr>
          <w:spacing w:val="-2"/>
          <w:sz w:val="24"/>
        </w:rPr>
        <w:t>References</w:t>
      </w:r>
    </w:p>
    <w:p>
      <w:pPr>
        <w:pStyle w:val="BodyText"/>
        <w:spacing w:before="8"/>
      </w:pPr>
    </w:p>
    <w:p>
      <w:pPr>
        <w:pStyle w:val="ListParagraph"/>
        <w:numPr>
          <w:ilvl w:val="0"/>
          <w:numId w:val="2"/>
        </w:numPr>
        <w:tabs>
          <w:tab w:pos="520" w:val="left" w:leader="none"/>
        </w:tabs>
        <w:spacing w:line="240" w:lineRule="auto" w:before="0" w:after="0"/>
        <w:ind w:left="520" w:right="0" w:hanging="400"/>
        <w:jc w:val="left"/>
        <w:rPr>
          <w:sz w:val="24"/>
        </w:rPr>
      </w:pPr>
      <w:r>
        <w:rPr>
          <w:spacing w:val="-2"/>
          <w:sz w:val="24"/>
        </w:rPr>
        <w:t>Appendices</w:t>
      </w:r>
    </w:p>
    <w:p>
      <w:pPr>
        <w:pStyle w:val="BodyText"/>
        <w:spacing w:before="8"/>
      </w:pPr>
    </w:p>
    <w:p>
      <w:pPr>
        <w:spacing w:before="0"/>
        <w:ind w:left="120" w:right="0" w:firstLine="0"/>
        <w:jc w:val="left"/>
        <w:rPr>
          <w:sz w:val="24"/>
        </w:rPr>
      </w:pPr>
      <w:r>
        <w:rPr>
          <w:sz w:val="24"/>
        </w:rPr>
        <w:t>--</w:t>
      </w:r>
      <w:r>
        <w:rPr>
          <w:spacing w:val="-10"/>
          <w:sz w:val="24"/>
        </w:rPr>
        <w:t>-</w:t>
      </w:r>
    </w:p>
    <w:p>
      <w:pPr>
        <w:pStyle w:val="BodyText"/>
        <w:spacing w:before="255"/>
      </w:pPr>
    </w:p>
    <w:p>
      <w:pPr>
        <w:pStyle w:val="Heading1"/>
        <w:numPr>
          <w:ilvl w:val="0"/>
          <w:numId w:val="3"/>
        </w:numPr>
        <w:tabs>
          <w:tab w:pos="520" w:val="left" w:leader="none"/>
        </w:tabs>
        <w:spacing w:line="240" w:lineRule="auto" w:before="1" w:after="0"/>
        <w:ind w:left="520" w:right="0" w:hanging="400"/>
        <w:jc w:val="left"/>
      </w:pPr>
      <w:r>
        <w:rPr>
          <w:spacing w:val="-2"/>
        </w:rPr>
        <w:t>INTRODUCTION</w:t>
      </w:r>
    </w:p>
    <w:p>
      <w:pPr>
        <w:pStyle w:val="BodyText"/>
        <w:spacing w:before="89"/>
        <w:rPr>
          <w:rFonts w:ascii="Arial"/>
          <w:b/>
          <w:sz w:val="36"/>
        </w:rPr>
      </w:pPr>
    </w:p>
    <w:p>
      <w:pPr>
        <w:pStyle w:val="Heading2"/>
        <w:numPr>
          <w:ilvl w:val="1"/>
          <w:numId w:val="3"/>
        </w:numPr>
        <w:tabs>
          <w:tab w:pos="653" w:val="left" w:leader="none"/>
        </w:tabs>
        <w:spacing w:line="240" w:lineRule="auto" w:before="0" w:after="0"/>
        <w:ind w:left="653" w:right="0" w:hanging="533"/>
        <w:jc w:val="left"/>
      </w:pPr>
      <w:r>
        <w:rPr/>
        <w:t>Background of the </w:t>
      </w:r>
      <w:r>
        <w:rPr>
          <w:spacing w:val="-2"/>
        </w:rPr>
        <w:t>Study</w:t>
      </w:r>
    </w:p>
    <w:p>
      <w:pPr>
        <w:pStyle w:val="BodyText"/>
        <w:spacing w:before="8"/>
        <w:rPr>
          <w:rFonts w:ascii="Arial"/>
          <w:b/>
          <w:sz w:val="32"/>
        </w:rPr>
      </w:pPr>
    </w:p>
    <w:p>
      <w:pPr>
        <w:pStyle w:val="BodyText"/>
        <w:spacing w:line="208" w:lineRule="auto" w:before="0"/>
        <w:ind w:left="120" w:right="1563"/>
      </w:pPr>
      <w:r>
        <w:rPr/>
        <w:t>Working capital management represents a critical component of corporate financial management, directly impacting a company's operational efficiency, financial stability, and</w:t>
      </w:r>
      <w:r>
        <w:rPr>
          <w:spacing w:val="-5"/>
        </w:rPr>
        <w:t> </w:t>
      </w:r>
      <w:r>
        <w:rPr/>
        <w:t>overall</w:t>
      </w:r>
      <w:r>
        <w:rPr>
          <w:spacing w:val="-5"/>
        </w:rPr>
        <w:t> </w:t>
      </w:r>
      <w:r>
        <w:rPr/>
        <w:t>profitability.</w:t>
      </w:r>
      <w:r>
        <w:rPr>
          <w:spacing w:val="-5"/>
        </w:rPr>
        <w:t> </w:t>
      </w:r>
      <w:r>
        <w:rPr/>
        <w:t>For</w:t>
      </w:r>
      <w:r>
        <w:rPr>
          <w:spacing w:val="-5"/>
        </w:rPr>
        <w:t> </w:t>
      </w:r>
      <w:r>
        <w:rPr/>
        <w:t>a</w:t>
      </w:r>
      <w:r>
        <w:rPr>
          <w:spacing w:val="-5"/>
        </w:rPr>
        <w:t> </w:t>
      </w:r>
      <w:r>
        <w:rPr/>
        <w:t>diversified</w:t>
      </w:r>
      <w:r>
        <w:rPr>
          <w:spacing w:val="-5"/>
        </w:rPr>
        <w:t> </w:t>
      </w:r>
      <w:r>
        <w:rPr/>
        <w:t>conglomerate</w:t>
      </w:r>
      <w:r>
        <w:rPr>
          <w:spacing w:val="-5"/>
        </w:rPr>
        <w:t> </w:t>
      </w:r>
      <w:r>
        <w:rPr/>
        <w:t>like</w:t>
      </w:r>
      <w:r>
        <w:rPr>
          <w:spacing w:val="-5"/>
        </w:rPr>
        <w:t> </w:t>
      </w:r>
      <w:r>
        <w:rPr/>
        <w:t>Reliance</w:t>
      </w:r>
      <w:r>
        <w:rPr>
          <w:spacing w:val="-5"/>
        </w:rPr>
        <w:t> </w:t>
      </w:r>
      <w:r>
        <w:rPr/>
        <w:t>Industries</w:t>
      </w:r>
      <w:r>
        <w:rPr>
          <w:spacing w:val="-5"/>
        </w:rPr>
        <w:t> </w:t>
      </w:r>
      <w:r>
        <w:rPr/>
        <w:t>Limited (RIL), effective working capital management takes on heightened significance due to the company's vast scale of operations spanning capital-intensive sectors such as petrochemicals and refining, as well as rapidly growing consumer-facing businesses like telecommunications and retail.</w:t>
      </w:r>
    </w:p>
    <w:p>
      <w:pPr>
        <w:pStyle w:val="BodyText"/>
        <w:spacing w:before="44"/>
      </w:pPr>
    </w:p>
    <w:p>
      <w:pPr>
        <w:pStyle w:val="BodyText"/>
        <w:spacing w:line="208" w:lineRule="auto" w:before="0"/>
        <w:ind w:left="120" w:right="1563"/>
      </w:pPr>
      <w:r>
        <w:rPr/>
        <w:t>The importance of working capital management has been underscored by global economic</w:t>
      </w:r>
      <w:r>
        <w:rPr>
          <w:spacing w:val="-5"/>
        </w:rPr>
        <w:t> </w:t>
      </w:r>
      <w:r>
        <w:rPr/>
        <w:t>uncertainties,</w:t>
      </w:r>
      <w:r>
        <w:rPr>
          <w:spacing w:val="-5"/>
        </w:rPr>
        <w:t> </w:t>
      </w:r>
      <w:r>
        <w:rPr/>
        <w:t>supply</w:t>
      </w:r>
      <w:r>
        <w:rPr>
          <w:spacing w:val="-5"/>
        </w:rPr>
        <w:t> </w:t>
      </w:r>
      <w:r>
        <w:rPr/>
        <w:t>chain</w:t>
      </w:r>
      <w:r>
        <w:rPr>
          <w:spacing w:val="-5"/>
        </w:rPr>
        <w:t> </w:t>
      </w:r>
      <w:r>
        <w:rPr/>
        <w:t>disruptions,</w:t>
      </w:r>
      <w:r>
        <w:rPr>
          <w:spacing w:val="-5"/>
        </w:rPr>
        <w:t> </w:t>
      </w:r>
      <w:r>
        <w:rPr/>
        <w:t>and</w:t>
      </w:r>
      <w:r>
        <w:rPr>
          <w:spacing w:val="-5"/>
        </w:rPr>
        <w:t> </w:t>
      </w:r>
      <w:r>
        <w:rPr/>
        <w:t>evolving</w:t>
      </w:r>
      <w:r>
        <w:rPr>
          <w:spacing w:val="-5"/>
        </w:rPr>
        <w:t> </w:t>
      </w:r>
      <w:r>
        <w:rPr/>
        <w:t>consumer</w:t>
      </w:r>
      <w:r>
        <w:rPr>
          <w:spacing w:val="-5"/>
        </w:rPr>
        <w:t> </w:t>
      </w:r>
      <w:r>
        <w:rPr/>
        <w:t>behaviors</w:t>
      </w:r>
      <w:r>
        <w:rPr>
          <w:spacing w:val="-5"/>
        </w:rPr>
        <w:t> </w:t>
      </w:r>
      <w:r>
        <w:rPr/>
        <w:t>in the post-pandemic era. Companies with optimized working capital practices have demonstrated greater resilience during economic downturns and enhanced capacity for strategic investments during periods of growth. Within this context, RIL's approach to working capital management offers valuable insights into how large, diversified enterprises can balance liquidity needs, operational requirements, and financial</w:t>
      </w:r>
    </w:p>
    <w:p>
      <w:pPr>
        <w:pStyle w:val="BodyText"/>
        <w:spacing w:after="0" w:line="208" w:lineRule="auto"/>
        <w:sectPr>
          <w:pgSz w:w="12240" w:h="15840"/>
          <w:pgMar w:top="1500" w:bottom="280" w:left="1440" w:right="0"/>
        </w:sectPr>
      </w:pPr>
    </w:p>
    <w:p>
      <w:pPr>
        <w:pStyle w:val="BodyText"/>
        <w:spacing w:before="75"/>
        <w:ind w:left="120"/>
      </w:pPr>
      <w:r>
        <w:rPr/>
        <w:t>performance </w:t>
      </w:r>
      <w:r>
        <w:rPr>
          <w:spacing w:val="-2"/>
        </w:rPr>
        <w:t>objectives.</w:t>
      </w:r>
    </w:p>
    <w:p>
      <w:pPr>
        <w:pStyle w:val="BodyText"/>
        <w:spacing w:before="92"/>
      </w:pPr>
    </w:p>
    <w:p>
      <w:pPr>
        <w:pStyle w:val="Heading2"/>
        <w:numPr>
          <w:ilvl w:val="1"/>
          <w:numId w:val="3"/>
        </w:numPr>
        <w:tabs>
          <w:tab w:pos="653" w:val="left" w:leader="none"/>
        </w:tabs>
        <w:spacing w:line="240" w:lineRule="auto" w:before="1" w:after="0"/>
        <w:ind w:left="653" w:right="0" w:hanging="533"/>
        <w:jc w:val="left"/>
      </w:pPr>
      <w:r>
        <w:rPr/>
        <w:t>Problem </w:t>
      </w:r>
      <w:r>
        <w:rPr>
          <w:spacing w:val="-2"/>
        </w:rPr>
        <w:t>Statement</w:t>
      </w:r>
    </w:p>
    <w:p>
      <w:pPr>
        <w:pStyle w:val="BodyText"/>
        <w:spacing w:before="347"/>
        <w:ind w:left="120"/>
      </w:pPr>
      <w:r>
        <w:rPr/>
        <w:t>This study addresses the following research </w:t>
      </w:r>
      <w:r>
        <w:rPr>
          <w:spacing w:val="-2"/>
        </w:rPr>
        <w:t>questions:</w:t>
      </w:r>
    </w:p>
    <w:p>
      <w:pPr>
        <w:pStyle w:val="BodyText"/>
        <w:spacing w:before="37"/>
      </w:pPr>
    </w:p>
    <w:p>
      <w:pPr>
        <w:pStyle w:val="ListParagraph"/>
        <w:numPr>
          <w:ilvl w:val="0"/>
          <w:numId w:val="4"/>
        </w:numPr>
        <w:tabs>
          <w:tab w:pos="386" w:val="left" w:leader="none"/>
        </w:tabs>
        <w:spacing w:line="208" w:lineRule="auto" w:before="0" w:after="0"/>
        <w:ind w:left="120" w:right="2127" w:firstLine="0"/>
        <w:jc w:val="left"/>
        <w:rPr>
          <w:sz w:val="24"/>
        </w:rPr>
      </w:pPr>
      <w:r>
        <w:rPr>
          <w:sz w:val="24"/>
        </w:rPr>
        <w:t>How</w:t>
      </w:r>
      <w:r>
        <w:rPr>
          <w:spacing w:val="-4"/>
          <w:sz w:val="24"/>
        </w:rPr>
        <w:t> </w:t>
      </w:r>
      <w:r>
        <w:rPr>
          <w:sz w:val="24"/>
        </w:rPr>
        <w:t>effectively</w:t>
      </w:r>
      <w:r>
        <w:rPr>
          <w:spacing w:val="-4"/>
          <w:sz w:val="24"/>
        </w:rPr>
        <w:t> </w:t>
      </w:r>
      <w:r>
        <w:rPr>
          <w:sz w:val="24"/>
        </w:rPr>
        <w:t>does</w:t>
      </w:r>
      <w:r>
        <w:rPr>
          <w:spacing w:val="-4"/>
          <w:sz w:val="24"/>
        </w:rPr>
        <w:t> </w:t>
      </w:r>
      <w:r>
        <w:rPr>
          <w:sz w:val="24"/>
        </w:rPr>
        <w:t>Reliance</w:t>
      </w:r>
      <w:r>
        <w:rPr>
          <w:spacing w:val="-4"/>
          <w:sz w:val="24"/>
        </w:rPr>
        <w:t> </w:t>
      </w:r>
      <w:r>
        <w:rPr>
          <w:sz w:val="24"/>
        </w:rPr>
        <w:t>Industries</w:t>
      </w:r>
      <w:r>
        <w:rPr>
          <w:spacing w:val="-4"/>
          <w:sz w:val="24"/>
        </w:rPr>
        <w:t> </w:t>
      </w:r>
      <w:r>
        <w:rPr>
          <w:sz w:val="24"/>
        </w:rPr>
        <w:t>manage</w:t>
      </w:r>
      <w:r>
        <w:rPr>
          <w:spacing w:val="-4"/>
          <w:sz w:val="24"/>
        </w:rPr>
        <w:t> </w:t>
      </w:r>
      <w:r>
        <w:rPr>
          <w:sz w:val="24"/>
        </w:rPr>
        <w:t>its</w:t>
      </w:r>
      <w:r>
        <w:rPr>
          <w:spacing w:val="-4"/>
          <w:sz w:val="24"/>
        </w:rPr>
        <w:t> </w:t>
      </w:r>
      <w:r>
        <w:rPr>
          <w:sz w:val="24"/>
        </w:rPr>
        <w:t>working</w:t>
      </w:r>
      <w:r>
        <w:rPr>
          <w:spacing w:val="-4"/>
          <w:sz w:val="24"/>
        </w:rPr>
        <w:t> </w:t>
      </w:r>
      <w:r>
        <w:rPr>
          <w:sz w:val="24"/>
        </w:rPr>
        <w:t>capital</w:t>
      </w:r>
      <w:r>
        <w:rPr>
          <w:spacing w:val="-4"/>
          <w:sz w:val="24"/>
        </w:rPr>
        <w:t> </w:t>
      </w:r>
      <w:r>
        <w:rPr>
          <w:sz w:val="24"/>
        </w:rPr>
        <w:t>across</w:t>
      </w:r>
      <w:r>
        <w:rPr>
          <w:spacing w:val="-4"/>
          <w:sz w:val="24"/>
        </w:rPr>
        <w:t> </w:t>
      </w:r>
      <w:r>
        <w:rPr>
          <w:sz w:val="24"/>
        </w:rPr>
        <w:t>its diverse business portfolio?</w:t>
      </w:r>
    </w:p>
    <w:p>
      <w:pPr>
        <w:pStyle w:val="ListParagraph"/>
        <w:numPr>
          <w:ilvl w:val="0"/>
          <w:numId w:val="4"/>
        </w:numPr>
        <w:tabs>
          <w:tab w:pos="386" w:val="left" w:leader="none"/>
        </w:tabs>
        <w:spacing w:line="208" w:lineRule="auto" w:before="120" w:after="0"/>
        <w:ind w:left="120" w:right="2174" w:firstLine="0"/>
        <w:jc w:val="left"/>
        <w:rPr>
          <w:sz w:val="24"/>
        </w:rPr>
      </w:pPr>
      <w:r>
        <w:rPr>
          <w:sz w:val="24"/>
        </w:rPr>
        <w:t>What</w:t>
      </w:r>
      <w:r>
        <w:rPr>
          <w:spacing w:val="-3"/>
          <w:sz w:val="24"/>
        </w:rPr>
        <w:t> </w:t>
      </w:r>
      <w:r>
        <w:rPr>
          <w:sz w:val="24"/>
        </w:rPr>
        <w:t>are</w:t>
      </w:r>
      <w:r>
        <w:rPr>
          <w:spacing w:val="-3"/>
          <w:sz w:val="24"/>
        </w:rPr>
        <w:t> </w:t>
      </w:r>
      <w:r>
        <w:rPr>
          <w:sz w:val="24"/>
        </w:rPr>
        <w:t>the</w:t>
      </w:r>
      <w:r>
        <w:rPr>
          <w:spacing w:val="-3"/>
          <w:sz w:val="24"/>
        </w:rPr>
        <w:t> </w:t>
      </w:r>
      <w:r>
        <w:rPr>
          <w:sz w:val="24"/>
        </w:rPr>
        <w:t>key</w:t>
      </w:r>
      <w:r>
        <w:rPr>
          <w:spacing w:val="-3"/>
          <w:sz w:val="24"/>
        </w:rPr>
        <w:t> </w:t>
      </w:r>
      <w:r>
        <w:rPr>
          <w:sz w:val="24"/>
        </w:rPr>
        <w:t>trends</w:t>
      </w:r>
      <w:r>
        <w:rPr>
          <w:spacing w:val="-3"/>
          <w:sz w:val="24"/>
        </w:rPr>
        <w:t> </w:t>
      </w:r>
      <w:r>
        <w:rPr>
          <w:sz w:val="24"/>
        </w:rPr>
        <w:t>and</w:t>
      </w:r>
      <w:r>
        <w:rPr>
          <w:spacing w:val="-3"/>
          <w:sz w:val="24"/>
        </w:rPr>
        <w:t> </w:t>
      </w:r>
      <w:r>
        <w:rPr>
          <w:sz w:val="24"/>
        </w:rPr>
        <w:t>patterns</w:t>
      </w:r>
      <w:r>
        <w:rPr>
          <w:spacing w:val="-3"/>
          <w:sz w:val="24"/>
        </w:rPr>
        <w:t> </w:t>
      </w:r>
      <w:r>
        <w:rPr>
          <w:sz w:val="24"/>
        </w:rPr>
        <w:t>in</w:t>
      </w:r>
      <w:r>
        <w:rPr>
          <w:spacing w:val="-3"/>
          <w:sz w:val="24"/>
        </w:rPr>
        <w:t> </w:t>
      </w:r>
      <w:r>
        <w:rPr>
          <w:sz w:val="24"/>
        </w:rPr>
        <w:t>RIL's</w:t>
      </w:r>
      <w:r>
        <w:rPr>
          <w:spacing w:val="-3"/>
          <w:sz w:val="24"/>
        </w:rPr>
        <w:t> </w:t>
      </w:r>
      <w:r>
        <w:rPr>
          <w:sz w:val="24"/>
        </w:rPr>
        <w:t>working</w:t>
      </w:r>
      <w:r>
        <w:rPr>
          <w:spacing w:val="-3"/>
          <w:sz w:val="24"/>
        </w:rPr>
        <w:t> </w:t>
      </w:r>
      <w:r>
        <w:rPr>
          <w:sz w:val="24"/>
        </w:rPr>
        <w:t>capital</w:t>
      </w:r>
      <w:r>
        <w:rPr>
          <w:spacing w:val="-3"/>
          <w:sz w:val="24"/>
        </w:rPr>
        <w:t> </w:t>
      </w:r>
      <w:r>
        <w:rPr>
          <w:sz w:val="24"/>
        </w:rPr>
        <w:t>metrics</w:t>
      </w:r>
      <w:r>
        <w:rPr>
          <w:spacing w:val="-3"/>
          <w:sz w:val="24"/>
        </w:rPr>
        <w:t> </w:t>
      </w:r>
      <w:r>
        <w:rPr>
          <w:sz w:val="24"/>
        </w:rPr>
        <w:t>over</w:t>
      </w:r>
      <w:r>
        <w:rPr>
          <w:spacing w:val="-3"/>
          <w:sz w:val="24"/>
        </w:rPr>
        <w:t> </w:t>
      </w:r>
      <w:r>
        <w:rPr>
          <w:sz w:val="24"/>
        </w:rPr>
        <w:t>the period FY2020-21 to FY2024-25?</w:t>
      </w:r>
    </w:p>
    <w:p>
      <w:pPr>
        <w:pStyle w:val="ListParagraph"/>
        <w:numPr>
          <w:ilvl w:val="0"/>
          <w:numId w:val="4"/>
        </w:numPr>
        <w:tabs>
          <w:tab w:pos="386" w:val="left" w:leader="none"/>
        </w:tabs>
        <w:spacing w:line="208" w:lineRule="auto" w:before="120" w:after="0"/>
        <w:ind w:left="120" w:right="1846" w:firstLine="0"/>
        <w:jc w:val="left"/>
        <w:rPr>
          <w:sz w:val="24"/>
        </w:rPr>
      </w:pPr>
      <w:r>
        <w:rPr>
          <w:sz w:val="24"/>
        </w:rPr>
        <w:t>How</w:t>
      </w:r>
      <w:r>
        <w:rPr>
          <w:spacing w:val="-5"/>
          <w:sz w:val="24"/>
        </w:rPr>
        <w:t> </w:t>
      </w:r>
      <w:r>
        <w:rPr>
          <w:sz w:val="24"/>
        </w:rPr>
        <w:t>do</w:t>
      </w:r>
      <w:r>
        <w:rPr>
          <w:spacing w:val="-5"/>
          <w:sz w:val="24"/>
        </w:rPr>
        <w:t> </w:t>
      </w:r>
      <w:r>
        <w:rPr>
          <w:sz w:val="24"/>
        </w:rPr>
        <w:t>working</w:t>
      </w:r>
      <w:r>
        <w:rPr>
          <w:spacing w:val="-5"/>
          <w:sz w:val="24"/>
        </w:rPr>
        <w:t> </w:t>
      </w:r>
      <w:r>
        <w:rPr>
          <w:sz w:val="24"/>
        </w:rPr>
        <w:t>capital</w:t>
      </w:r>
      <w:r>
        <w:rPr>
          <w:spacing w:val="-5"/>
          <w:sz w:val="24"/>
        </w:rPr>
        <w:t> </w:t>
      </w:r>
      <w:r>
        <w:rPr>
          <w:sz w:val="24"/>
        </w:rPr>
        <w:t>requirements</w:t>
      </w:r>
      <w:r>
        <w:rPr>
          <w:spacing w:val="-5"/>
          <w:sz w:val="24"/>
        </w:rPr>
        <w:t> </w:t>
      </w:r>
      <w:r>
        <w:rPr>
          <w:sz w:val="24"/>
        </w:rPr>
        <w:t>and</w:t>
      </w:r>
      <w:r>
        <w:rPr>
          <w:spacing w:val="-5"/>
          <w:sz w:val="24"/>
        </w:rPr>
        <w:t> </w:t>
      </w:r>
      <w:r>
        <w:rPr>
          <w:sz w:val="24"/>
        </w:rPr>
        <w:t>management</w:t>
      </w:r>
      <w:r>
        <w:rPr>
          <w:spacing w:val="-5"/>
          <w:sz w:val="24"/>
        </w:rPr>
        <w:t> </w:t>
      </w:r>
      <w:r>
        <w:rPr>
          <w:sz w:val="24"/>
        </w:rPr>
        <w:t>approaches</w:t>
      </w:r>
      <w:r>
        <w:rPr>
          <w:spacing w:val="-5"/>
          <w:sz w:val="24"/>
        </w:rPr>
        <w:t> </w:t>
      </w:r>
      <w:r>
        <w:rPr>
          <w:sz w:val="24"/>
        </w:rPr>
        <w:t>differ</w:t>
      </w:r>
      <w:r>
        <w:rPr>
          <w:spacing w:val="-5"/>
          <w:sz w:val="24"/>
        </w:rPr>
        <w:t> </w:t>
      </w:r>
      <w:r>
        <w:rPr>
          <w:sz w:val="24"/>
        </w:rPr>
        <w:t>across RIL's business segments?</w:t>
      </w:r>
    </w:p>
    <w:p>
      <w:pPr>
        <w:pStyle w:val="ListParagraph"/>
        <w:numPr>
          <w:ilvl w:val="0"/>
          <w:numId w:val="4"/>
        </w:numPr>
        <w:tabs>
          <w:tab w:pos="386" w:val="left" w:leader="none"/>
        </w:tabs>
        <w:spacing w:line="208" w:lineRule="auto" w:before="119" w:after="0"/>
        <w:ind w:left="120" w:right="1654" w:firstLine="0"/>
        <w:jc w:val="left"/>
        <w:rPr>
          <w:sz w:val="24"/>
        </w:rPr>
      </w:pPr>
      <w:r>
        <w:rPr>
          <w:sz w:val="24"/>
        </w:rPr>
        <w:t>How</w:t>
      </w:r>
      <w:r>
        <w:rPr>
          <w:spacing w:val="-4"/>
          <w:sz w:val="24"/>
        </w:rPr>
        <w:t> </w:t>
      </w:r>
      <w:r>
        <w:rPr>
          <w:sz w:val="24"/>
        </w:rPr>
        <w:t>does</w:t>
      </w:r>
      <w:r>
        <w:rPr>
          <w:spacing w:val="-4"/>
          <w:sz w:val="24"/>
        </w:rPr>
        <w:t> </w:t>
      </w:r>
      <w:r>
        <w:rPr>
          <w:sz w:val="24"/>
        </w:rPr>
        <w:t>RIL's</w:t>
      </w:r>
      <w:r>
        <w:rPr>
          <w:spacing w:val="-4"/>
          <w:sz w:val="24"/>
        </w:rPr>
        <w:t> </w:t>
      </w:r>
      <w:r>
        <w:rPr>
          <w:sz w:val="24"/>
        </w:rPr>
        <w:t>working</w:t>
      </w:r>
      <w:r>
        <w:rPr>
          <w:spacing w:val="-4"/>
          <w:sz w:val="24"/>
        </w:rPr>
        <w:t> </w:t>
      </w:r>
      <w:r>
        <w:rPr>
          <w:sz w:val="24"/>
        </w:rPr>
        <w:t>capital</w:t>
      </w:r>
      <w:r>
        <w:rPr>
          <w:spacing w:val="-4"/>
          <w:sz w:val="24"/>
        </w:rPr>
        <w:t> </w:t>
      </w:r>
      <w:r>
        <w:rPr>
          <w:sz w:val="24"/>
        </w:rPr>
        <w:t>performance</w:t>
      </w:r>
      <w:r>
        <w:rPr>
          <w:spacing w:val="-4"/>
          <w:sz w:val="24"/>
        </w:rPr>
        <w:t> </w:t>
      </w:r>
      <w:r>
        <w:rPr>
          <w:sz w:val="24"/>
        </w:rPr>
        <w:t>compare</w:t>
      </w:r>
      <w:r>
        <w:rPr>
          <w:spacing w:val="-4"/>
          <w:sz w:val="24"/>
        </w:rPr>
        <w:t> </w:t>
      </w:r>
      <w:r>
        <w:rPr>
          <w:sz w:val="24"/>
        </w:rPr>
        <w:t>to</w:t>
      </w:r>
      <w:r>
        <w:rPr>
          <w:spacing w:val="-4"/>
          <w:sz w:val="24"/>
        </w:rPr>
        <w:t> </w:t>
      </w:r>
      <w:r>
        <w:rPr>
          <w:sz w:val="24"/>
        </w:rPr>
        <w:t>industry</w:t>
      </w:r>
      <w:r>
        <w:rPr>
          <w:spacing w:val="-4"/>
          <w:sz w:val="24"/>
        </w:rPr>
        <w:t> </w:t>
      </w:r>
      <w:r>
        <w:rPr>
          <w:sz w:val="24"/>
        </w:rPr>
        <w:t>benchmarks</w:t>
      </w:r>
      <w:r>
        <w:rPr>
          <w:spacing w:val="-4"/>
          <w:sz w:val="24"/>
        </w:rPr>
        <w:t> </w:t>
      </w:r>
      <w:r>
        <w:rPr>
          <w:sz w:val="24"/>
        </w:rPr>
        <w:t>and leading global practices?</w:t>
      </w:r>
    </w:p>
    <w:p>
      <w:pPr>
        <w:pStyle w:val="ListParagraph"/>
        <w:numPr>
          <w:ilvl w:val="0"/>
          <w:numId w:val="4"/>
        </w:numPr>
        <w:tabs>
          <w:tab w:pos="386" w:val="left" w:leader="none"/>
        </w:tabs>
        <w:spacing w:line="208" w:lineRule="auto" w:before="120" w:after="0"/>
        <w:ind w:left="120" w:right="1680" w:firstLine="0"/>
        <w:jc w:val="left"/>
        <w:rPr>
          <w:sz w:val="24"/>
        </w:rPr>
      </w:pPr>
      <w:r>
        <w:rPr>
          <w:sz w:val="24"/>
        </w:rPr>
        <w:t>What</w:t>
      </w:r>
      <w:r>
        <w:rPr>
          <w:spacing w:val="-4"/>
          <w:sz w:val="24"/>
        </w:rPr>
        <w:t> </w:t>
      </w:r>
      <w:r>
        <w:rPr>
          <w:sz w:val="24"/>
        </w:rPr>
        <w:t>is</w:t>
      </w:r>
      <w:r>
        <w:rPr>
          <w:spacing w:val="-4"/>
          <w:sz w:val="24"/>
        </w:rPr>
        <w:t> </w:t>
      </w:r>
      <w:r>
        <w:rPr>
          <w:sz w:val="24"/>
        </w:rPr>
        <w:t>the</w:t>
      </w:r>
      <w:r>
        <w:rPr>
          <w:spacing w:val="-4"/>
          <w:sz w:val="24"/>
        </w:rPr>
        <w:t> </w:t>
      </w:r>
      <w:r>
        <w:rPr>
          <w:sz w:val="24"/>
        </w:rPr>
        <w:t>relationship</w:t>
      </w:r>
      <w:r>
        <w:rPr>
          <w:spacing w:val="-4"/>
          <w:sz w:val="24"/>
        </w:rPr>
        <w:t> </w:t>
      </w:r>
      <w:r>
        <w:rPr>
          <w:sz w:val="24"/>
        </w:rPr>
        <w:t>between</w:t>
      </w:r>
      <w:r>
        <w:rPr>
          <w:spacing w:val="-4"/>
          <w:sz w:val="24"/>
        </w:rPr>
        <w:t> </w:t>
      </w:r>
      <w:r>
        <w:rPr>
          <w:sz w:val="24"/>
        </w:rPr>
        <w:t>RIL's</w:t>
      </w:r>
      <w:r>
        <w:rPr>
          <w:spacing w:val="-4"/>
          <w:sz w:val="24"/>
        </w:rPr>
        <w:t> </w:t>
      </w:r>
      <w:r>
        <w:rPr>
          <w:sz w:val="24"/>
        </w:rPr>
        <w:t>working</w:t>
      </w:r>
      <w:r>
        <w:rPr>
          <w:spacing w:val="-4"/>
          <w:sz w:val="24"/>
        </w:rPr>
        <w:t> </w:t>
      </w:r>
      <w:r>
        <w:rPr>
          <w:sz w:val="24"/>
        </w:rPr>
        <w:t>capital</w:t>
      </w:r>
      <w:r>
        <w:rPr>
          <w:spacing w:val="-4"/>
          <w:sz w:val="24"/>
        </w:rPr>
        <w:t> </w:t>
      </w:r>
      <w:r>
        <w:rPr>
          <w:sz w:val="24"/>
        </w:rPr>
        <w:t>management</w:t>
      </w:r>
      <w:r>
        <w:rPr>
          <w:spacing w:val="-4"/>
          <w:sz w:val="24"/>
        </w:rPr>
        <w:t> </w:t>
      </w:r>
      <w:r>
        <w:rPr>
          <w:sz w:val="24"/>
        </w:rPr>
        <w:t>efficiency</w:t>
      </w:r>
      <w:r>
        <w:rPr>
          <w:spacing w:val="-4"/>
          <w:sz w:val="24"/>
        </w:rPr>
        <w:t> </w:t>
      </w:r>
      <w:r>
        <w:rPr>
          <w:sz w:val="24"/>
        </w:rPr>
        <w:t>and its financial performance metrics?</w:t>
      </w:r>
    </w:p>
    <w:p>
      <w:pPr>
        <w:pStyle w:val="ListParagraph"/>
        <w:numPr>
          <w:ilvl w:val="0"/>
          <w:numId w:val="4"/>
        </w:numPr>
        <w:tabs>
          <w:tab w:pos="386" w:val="left" w:leader="none"/>
        </w:tabs>
        <w:spacing w:line="208" w:lineRule="auto" w:before="120" w:after="0"/>
        <w:ind w:left="120" w:right="1840" w:firstLine="0"/>
        <w:jc w:val="left"/>
        <w:rPr>
          <w:sz w:val="24"/>
        </w:rPr>
      </w:pPr>
      <w:r>
        <w:rPr>
          <w:sz w:val="24"/>
        </w:rPr>
        <w:t>What</w:t>
      </w:r>
      <w:r>
        <w:rPr>
          <w:spacing w:val="-4"/>
          <w:sz w:val="24"/>
        </w:rPr>
        <w:t> </w:t>
      </w:r>
      <w:r>
        <w:rPr>
          <w:sz w:val="24"/>
        </w:rPr>
        <w:t>strategies</w:t>
      </w:r>
      <w:r>
        <w:rPr>
          <w:spacing w:val="-4"/>
          <w:sz w:val="24"/>
        </w:rPr>
        <w:t> </w:t>
      </w:r>
      <w:r>
        <w:rPr>
          <w:sz w:val="24"/>
        </w:rPr>
        <w:t>and</w:t>
      </w:r>
      <w:r>
        <w:rPr>
          <w:spacing w:val="-4"/>
          <w:sz w:val="24"/>
        </w:rPr>
        <w:t> </w:t>
      </w:r>
      <w:r>
        <w:rPr>
          <w:sz w:val="24"/>
        </w:rPr>
        <w:t>approaches</w:t>
      </w:r>
      <w:r>
        <w:rPr>
          <w:spacing w:val="-4"/>
          <w:sz w:val="24"/>
        </w:rPr>
        <w:t> </w:t>
      </w:r>
      <w:r>
        <w:rPr>
          <w:sz w:val="24"/>
        </w:rPr>
        <w:t>can</w:t>
      </w:r>
      <w:r>
        <w:rPr>
          <w:spacing w:val="-4"/>
          <w:sz w:val="24"/>
        </w:rPr>
        <w:t> </w:t>
      </w:r>
      <w:r>
        <w:rPr>
          <w:sz w:val="24"/>
        </w:rPr>
        <w:t>be</w:t>
      </w:r>
      <w:r>
        <w:rPr>
          <w:spacing w:val="-4"/>
          <w:sz w:val="24"/>
        </w:rPr>
        <w:t> </w:t>
      </w:r>
      <w:r>
        <w:rPr>
          <w:sz w:val="24"/>
        </w:rPr>
        <w:t>recommended</w:t>
      </w:r>
      <w:r>
        <w:rPr>
          <w:spacing w:val="-4"/>
          <w:sz w:val="24"/>
        </w:rPr>
        <w:t> </w:t>
      </w:r>
      <w:r>
        <w:rPr>
          <w:sz w:val="24"/>
        </w:rPr>
        <w:t>to</w:t>
      </w:r>
      <w:r>
        <w:rPr>
          <w:spacing w:val="-4"/>
          <w:sz w:val="24"/>
        </w:rPr>
        <w:t> </w:t>
      </w:r>
      <w:r>
        <w:rPr>
          <w:sz w:val="24"/>
        </w:rPr>
        <w:t>optimize</w:t>
      </w:r>
      <w:r>
        <w:rPr>
          <w:spacing w:val="-4"/>
          <w:sz w:val="24"/>
        </w:rPr>
        <w:t> </w:t>
      </w:r>
      <w:r>
        <w:rPr>
          <w:sz w:val="24"/>
        </w:rPr>
        <w:t>RIL's</w:t>
      </w:r>
      <w:r>
        <w:rPr>
          <w:spacing w:val="-4"/>
          <w:sz w:val="24"/>
        </w:rPr>
        <w:t> </w:t>
      </w:r>
      <w:r>
        <w:rPr>
          <w:sz w:val="24"/>
        </w:rPr>
        <w:t>working capital efficiency while supporting its growth objectives?</w:t>
      </w:r>
    </w:p>
    <w:p>
      <w:pPr>
        <w:pStyle w:val="BodyText"/>
        <w:spacing w:before="99"/>
      </w:pPr>
    </w:p>
    <w:p>
      <w:pPr>
        <w:pStyle w:val="Heading2"/>
        <w:numPr>
          <w:ilvl w:val="1"/>
          <w:numId w:val="3"/>
        </w:numPr>
        <w:tabs>
          <w:tab w:pos="653" w:val="left" w:leader="none"/>
        </w:tabs>
        <w:spacing w:line="240" w:lineRule="auto" w:before="0" w:after="0"/>
        <w:ind w:left="653" w:right="0" w:hanging="533"/>
        <w:jc w:val="left"/>
      </w:pPr>
      <w:r>
        <w:rPr/>
        <w:t>Objectives of the </w:t>
      </w:r>
      <w:r>
        <w:rPr>
          <w:spacing w:val="-2"/>
        </w:rPr>
        <w:t>Study</w:t>
      </w:r>
    </w:p>
    <w:p>
      <w:pPr>
        <w:pStyle w:val="Heading4"/>
        <w:spacing w:before="348"/>
      </w:pPr>
      <w:r>
        <w:rPr/>
        <w:t>Primary </w:t>
      </w:r>
      <w:r>
        <w:rPr>
          <w:spacing w:val="-2"/>
        </w:rPr>
        <w:t>Objective:</w:t>
      </w:r>
    </w:p>
    <w:p>
      <w:pPr>
        <w:pStyle w:val="BodyText"/>
        <w:spacing w:line="208" w:lineRule="auto" w:before="113"/>
        <w:ind w:left="120" w:right="1633"/>
      </w:pPr>
      <w:r>
        <w:rPr/>
        <w:t>To comprehensively evaluate Reliance Industries Limited's working capital management</w:t>
      </w:r>
      <w:r>
        <w:rPr>
          <w:spacing w:val="-6"/>
        </w:rPr>
        <w:t> </w:t>
      </w:r>
      <w:r>
        <w:rPr/>
        <w:t>practices</w:t>
      </w:r>
      <w:r>
        <w:rPr>
          <w:spacing w:val="-6"/>
        </w:rPr>
        <w:t> </w:t>
      </w:r>
      <w:r>
        <w:rPr/>
        <w:t>and</w:t>
      </w:r>
      <w:r>
        <w:rPr>
          <w:spacing w:val="-6"/>
        </w:rPr>
        <w:t> </w:t>
      </w:r>
      <w:r>
        <w:rPr/>
        <w:t>propose</w:t>
      </w:r>
      <w:r>
        <w:rPr>
          <w:spacing w:val="-6"/>
        </w:rPr>
        <w:t> </w:t>
      </w:r>
      <w:r>
        <w:rPr/>
        <w:t>strategic</w:t>
      </w:r>
      <w:r>
        <w:rPr>
          <w:spacing w:val="-6"/>
        </w:rPr>
        <w:t> </w:t>
      </w:r>
      <w:r>
        <w:rPr/>
        <w:t>recommendations</w:t>
      </w:r>
      <w:r>
        <w:rPr>
          <w:spacing w:val="-6"/>
        </w:rPr>
        <w:t> </w:t>
      </w:r>
      <w:r>
        <w:rPr/>
        <w:t>for</w:t>
      </w:r>
      <w:r>
        <w:rPr>
          <w:spacing w:val="-6"/>
        </w:rPr>
        <w:t> </w:t>
      </w:r>
      <w:r>
        <w:rPr/>
        <w:t>optimization.</w:t>
      </w:r>
    </w:p>
    <w:p>
      <w:pPr>
        <w:pStyle w:val="BodyText"/>
        <w:spacing w:before="14"/>
      </w:pPr>
    </w:p>
    <w:p>
      <w:pPr>
        <w:pStyle w:val="Heading4"/>
      </w:pPr>
      <w:r>
        <w:rPr/>
        <w:t>Secondary </w:t>
      </w:r>
      <w:r>
        <w:rPr>
          <w:spacing w:val="-2"/>
        </w:rPr>
        <w:t>Objectives:</w:t>
      </w:r>
    </w:p>
    <w:p>
      <w:pPr>
        <w:pStyle w:val="ListParagraph"/>
        <w:numPr>
          <w:ilvl w:val="0"/>
          <w:numId w:val="5"/>
        </w:numPr>
        <w:tabs>
          <w:tab w:pos="386" w:val="left" w:leader="none"/>
        </w:tabs>
        <w:spacing w:line="208" w:lineRule="auto" w:before="114" w:after="0"/>
        <w:ind w:left="120" w:right="1653" w:firstLine="0"/>
        <w:jc w:val="left"/>
        <w:rPr>
          <w:sz w:val="24"/>
        </w:rPr>
      </w:pPr>
      <w:r>
        <w:rPr>
          <w:sz w:val="24"/>
        </w:rPr>
        <w:t>To</w:t>
      </w:r>
      <w:r>
        <w:rPr>
          <w:spacing w:val="-4"/>
          <w:sz w:val="24"/>
        </w:rPr>
        <w:t> </w:t>
      </w:r>
      <w:r>
        <w:rPr>
          <w:sz w:val="24"/>
        </w:rPr>
        <w:t>analyze</w:t>
      </w:r>
      <w:r>
        <w:rPr>
          <w:spacing w:val="-4"/>
          <w:sz w:val="24"/>
        </w:rPr>
        <w:t> </w:t>
      </w:r>
      <w:r>
        <w:rPr>
          <w:sz w:val="24"/>
        </w:rPr>
        <w:t>the</w:t>
      </w:r>
      <w:r>
        <w:rPr>
          <w:spacing w:val="-4"/>
          <w:sz w:val="24"/>
        </w:rPr>
        <w:t> </w:t>
      </w:r>
      <w:r>
        <w:rPr>
          <w:sz w:val="24"/>
        </w:rPr>
        <w:t>composition</w:t>
      </w:r>
      <w:r>
        <w:rPr>
          <w:spacing w:val="-4"/>
          <w:sz w:val="24"/>
        </w:rPr>
        <w:t> </w:t>
      </w:r>
      <w:r>
        <w:rPr>
          <w:sz w:val="24"/>
        </w:rPr>
        <w:t>and</w:t>
      </w:r>
      <w:r>
        <w:rPr>
          <w:spacing w:val="-4"/>
          <w:sz w:val="24"/>
        </w:rPr>
        <w:t> </w:t>
      </w:r>
      <w:r>
        <w:rPr>
          <w:sz w:val="24"/>
        </w:rPr>
        <w:t>trends</w:t>
      </w:r>
      <w:r>
        <w:rPr>
          <w:spacing w:val="-4"/>
          <w:sz w:val="24"/>
        </w:rPr>
        <w:t> </w:t>
      </w:r>
      <w:r>
        <w:rPr>
          <w:sz w:val="24"/>
        </w:rPr>
        <w:t>of</w:t>
      </w:r>
      <w:r>
        <w:rPr>
          <w:spacing w:val="-4"/>
          <w:sz w:val="24"/>
        </w:rPr>
        <w:t> </w:t>
      </w:r>
      <w:r>
        <w:rPr>
          <w:sz w:val="24"/>
        </w:rPr>
        <w:t>RIL's</w:t>
      </w:r>
      <w:r>
        <w:rPr>
          <w:spacing w:val="-4"/>
          <w:sz w:val="24"/>
        </w:rPr>
        <w:t> </w:t>
      </w:r>
      <w:r>
        <w:rPr>
          <w:sz w:val="24"/>
        </w:rPr>
        <w:t>working</w:t>
      </w:r>
      <w:r>
        <w:rPr>
          <w:spacing w:val="-4"/>
          <w:sz w:val="24"/>
        </w:rPr>
        <w:t> </w:t>
      </w:r>
      <w:r>
        <w:rPr>
          <w:sz w:val="24"/>
        </w:rPr>
        <w:t>capital</w:t>
      </w:r>
      <w:r>
        <w:rPr>
          <w:spacing w:val="-4"/>
          <w:sz w:val="24"/>
        </w:rPr>
        <w:t> </w:t>
      </w:r>
      <w:r>
        <w:rPr>
          <w:sz w:val="24"/>
        </w:rPr>
        <w:t>components</w:t>
      </w:r>
      <w:r>
        <w:rPr>
          <w:spacing w:val="-4"/>
          <w:sz w:val="24"/>
        </w:rPr>
        <w:t> </w:t>
      </w:r>
      <w:r>
        <w:rPr>
          <w:sz w:val="24"/>
        </w:rPr>
        <w:t>over</w:t>
      </w:r>
      <w:r>
        <w:rPr>
          <w:spacing w:val="-4"/>
          <w:sz w:val="24"/>
        </w:rPr>
        <w:t> </w:t>
      </w:r>
      <w:r>
        <w:rPr>
          <w:sz w:val="24"/>
        </w:rPr>
        <w:t>a five-year period (FY2020-21 to FY2024-25).</w:t>
      </w:r>
    </w:p>
    <w:p>
      <w:pPr>
        <w:pStyle w:val="ListParagraph"/>
        <w:numPr>
          <w:ilvl w:val="0"/>
          <w:numId w:val="5"/>
        </w:numPr>
        <w:tabs>
          <w:tab w:pos="386" w:val="left" w:leader="none"/>
        </w:tabs>
        <w:spacing w:line="208" w:lineRule="auto" w:before="120" w:after="0"/>
        <w:ind w:left="120" w:right="1593" w:firstLine="0"/>
        <w:jc w:val="left"/>
        <w:rPr>
          <w:sz w:val="24"/>
        </w:rPr>
      </w:pPr>
      <w:r>
        <w:rPr>
          <w:sz w:val="24"/>
        </w:rPr>
        <w:t>To</w:t>
      </w:r>
      <w:r>
        <w:rPr>
          <w:spacing w:val="-4"/>
          <w:sz w:val="24"/>
        </w:rPr>
        <w:t> </w:t>
      </w:r>
      <w:r>
        <w:rPr>
          <w:sz w:val="24"/>
        </w:rPr>
        <w:t>calculate</w:t>
      </w:r>
      <w:r>
        <w:rPr>
          <w:spacing w:val="-4"/>
          <w:sz w:val="24"/>
        </w:rPr>
        <w:t> </w:t>
      </w:r>
      <w:r>
        <w:rPr>
          <w:sz w:val="24"/>
        </w:rPr>
        <w:t>and</w:t>
      </w:r>
      <w:r>
        <w:rPr>
          <w:spacing w:val="-4"/>
          <w:sz w:val="24"/>
        </w:rPr>
        <w:t> </w:t>
      </w:r>
      <w:r>
        <w:rPr>
          <w:sz w:val="24"/>
        </w:rPr>
        <w:t>interpret</w:t>
      </w:r>
      <w:r>
        <w:rPr>
          <w:spacing w:val="-4"/>
          <w:sz w:val="24"/>
        </w:rPr>
        <w:t> </w:t>
      </w:r>
      <w:r>
        <w:rPr>
          <w:sz w:val="24"/>
        </w:rPr>
        <w:t>key</w:t>
      </w:r>
      <w:r>
        <w:rPr>
          <w:spacing w:val="-4"/>
          <w:sz w:val="24"/>
        </w:rPr>
        <w:t> </w:t>
      </w:r>
      <w:r>
        <w:rPr>
          <w:sz w:val="24"/>
        </w:rPr>
        <w:t>working</w:t>
      </w:r>
      <w:r>
        <w:rPr>
          <w:spacing w:val="-4"/>
          <w:sz w:val="24"/>
        </w:rPr>
        <w:t> </w:t>
      </w:r>
      <w:r>
        <w:rPr>
          <w:sz w:val="24"/>
        </w:rPr>
        <w:t>capital</w:t>
      </w:r>
      <w:r>
        <w:rPr>
          <w:spacing w:val="-4"/>
          <w:sz w:val="24"/>
        </w:rPr>
        <w:t> </w:t>
      </w:r>
      <w:r>
        <w:rPr>
          <w:sz w:val="24"/>
        </w:rPr>
        <w:t>metrics</w:t>
      </w:r>
      <w:r>
        <w:rPr>
          <w:spacing w:val="-4"/>
          <w:sz w:val="24"/>
        </w:rPr>
        <w:t> </w:t>
      </w:r>
      <w:r>
        <w:rPr>
          <w:sz w:val="24"/>
        </w:rPr>
        <w:t>including</w:t>
      </w:r>
      <w:r>
        <w:rPr>
          <w:spacing w:val="-4"/>
          <w:sz w:val="24"/>
        </w:rPr>
        <w:t> </w:t>
      </w:r>
      <w:r>
        <w:rPr>
          <w:sz w:val="24"/>
        </w:rPr>
        <w:t>liquidity</w:t>
      </w:r>
      <w:r>
        <w:rPr>
          <w:spacing w:val="-4"/>
          <w:sz w:val="24"/>
        </w:rPr>
        <w:t> </w:t>
      </w:r>
      <w:r>
        <w:rPr>
          <w:sz w:val="24"/>
        </w:rPr>
        <w:t>ratios,</w:t>
      </w:r>
      <w:r>
        <w:rPr>
          <w:spacing w:val="-4"/>
          <w:sz w:val="24"/>
        </w:rPr>
        <w:t> </w:t>
      </w:r>
      <w:r>
        <w:rPr>
          <w:sz w:val="24"/>
        </w:rPr>
        <w:t>cash conversion cycle, and efficiency ratios.</w:t>
      </w:r>
    </w:p>
    <w:p>
      <w:pPr>
        <w:pStyle w:val="ListParagraph"/>
        <w:numPr>
          <w:ilvl w:val="0"/>
          <w:numId w:val="5"/>
        </w:numPr>
        <w:tabs>
          <w:tab w:pos="386" w:val="left" w:leader="none"/>
        </w:tabs>
        <w:spacing w:line="208" w:lineRule="auto" w:before="119" w:after="0"/>
        <w:ind w:left="120" w:right="2394" w:firstLine="0"/>
        <w:jc w:val="left"/>
        <w:rPr>
          <w:sz w:val="24"/>
        </w:rPr>
      </w:pPr>
      <w:r>
        <w:rPr>
          <w:sz w:val="24"/>
        </w:rPr>
        <w:t>To</w:t>
      </w:r>
      <w:r>
        <w:rPr>
          <w:spacing w:val="-6"/>
          <w:sz w:val="24"/>
        </w:rPr>
        <w:t> </w:t>
      </w:r>
      <w:r>
        <w:rPr>
          <w:sz w:val="24"/>
        </w:rPr>
        <w:t>assess</w:t>
      </w:r>
      <w:r>
        <w:rPr>
          <w:spacing w:val="-6"/>
          <w:sz w:val="24"/>
        </w:rPr>
        <w:t> </w:t>
      </w:r>
      <w:r>
        <w:rPr>
          <w:sz w:val="24"/>
        </w:rPr>
        <w:t>segment-specific</w:t>
      </w:r>
      <w:r>
        <w:rPr>
          <w:spacing w:val="-6"/>
          <w:sz w:val="24"/>
        </w:rPr>
        <w:t> </w:t>
      </w:r>
      <w:r>
        <w:rPr>
          <w:sz w:val="24"/>
        </w:rPr>
        <w:t>working</w:t>
      </w:r>
      <w:r>
        <w:rPr>
          <w:spacing w:val="-6"/>
          <w:sz w:val="24"/>
        </w:rPr>
        <w:t> </w:t>
      </w:r>
      <w:r>
        <w:rPr>
          <w:sz w:val="24"/>
        </w:rPr>
        <w:t>capital</w:t>
      </w:r>
      <w:r>
        <w:rPr>
          <w:spacing w:val="-6"/>
          <w:sz w:val="24"/>
        </w:rPr>
        <w:t> </w:t>
      </w:r>
      <w:r>
        <w:rPr>
          <w:sz w:val="24"/>
        </w:rPr>
        <w:t>requirements</w:t>
      </w:r>
      <w:r>
        <w:rPr>
          <w:spacing w:val="-6"/>
          <w:sz w:val="24"/>
        </w:rPr>
        <w:t> </w:t>
      </w:r>
      <w:r>
        <w:rPr>
          <w:sz w:val="24"/>
        </w:rPr>
        <w:t>and</w:t>
      </w:r>
      <w:r>
        <w:rPr>
          <w:spacing w:val="-6"/>
          <w:sz w:val="24"/>
        </w:rPr>
        <w:t> </w:t>
      </w:r>
      <w:r>
        <w:rPr>
          <w:sz w:val="24"/>
        </w:rPr>
        <w:t>management approaches across RIL's diverse business portfolio.</w:t>
      </w:r>
    </w:p>
    <w:p>
      <w:pPr>
        <w:pStyle w:val="ListParagraph"/>
        <w:numPr>
          <w:ilvl w:val="0"/>
          <w:numId w:val="5"/>
        </w:numPr>
        <w:tabs>
          <w:tab w:pos="386" w:val="left" w:leader="none"/>
        </w:tabs>
        <w:spacing w:line="208" w:lineRule="auto" w:before="120" w:after="0"/>
        <w:ind w:left="120" w:right="2321" w:firstLine="0"/>
        <w:jc w:val="left"/>
        <w:rPr>
          <w:sz w:val="24"/>
        </w:rPr>
      </w:pPr>
      <w:r>
        <w:rPr>
          <w:sz w:val="24"/>
        </w:rPr>
        <w:t>To</w:t>
      </w:r>
      <w:r>
        <w:rPr>
          <w:spacing w:val="-5"/>
          <w:sz w:val="24"/>
        </w:rPr>
        <w:t> </w:t>
      </w:r>
      <w:r>
        <w:rPr>
          <w:sz w:val="24"/>
        </w:rPr>
        <w:t>benchmark</w:t>
      </w:r>
      <w:r>
        <w:rPr>
          <w:spacing w:val="-5"/>
          <w:sz w:val="24"/>
        </w:rPr>
        <w:t> </w:t>
      </w:r>
      <w:r>
        <w:rPr>
          <w:sz w:val="24"/>
        </w:rPr>
        <w:t>RIL's</w:t>
      </w:r>
      <w:r>
        <w:rPr>
          <w:spacing w:val="-5"/>
          <w:sz w:val="24"/>
        </w:rPr>
        <w:t> </w:t>
      </w:r>
      <w:r>
        <w:rPr>
          <w:sz w:val="24"/>
        </w:rPr>
        <w:t>working</w:t>
      </w:r>
      <w:r>
        <w:rPr>
          <w:spacing w:val="-5"/>
          <w:sz w:val="24"/>
        </w:rPr>
        <w:t> </w:t>
      </w:r>
      <w:r>
        <w:rPr>
          <w:sz w:val="24"/>
        </w:rPr>
        <w:t>capital</w:t>
      </w:r>
      <w:r>
        <w:rPr>
          <w:spacing w:val="-5"/>
          <w:sz w:val="24"/>
        </w:rPr>
        <w:t> </w:t>
      </w:r>
      <w:r>
        <w:rPr>
          <w:sz w:val="24"/>
        </w:rPr>
        <w:t>performance</w:t>
      </w:r>
      <w:r>
        <w:rPr>
          <w:spacing w:val="-5"/>
          <w:sz w:val="24"/>
        </w:rPr>
        <w:t> </w:t>
      </w:r>
      <w:r>
        <w:rPr>
          <w:sz w:val="24"/>
        </w:rPr>
        <w:t>against</w:t>
      </w:r>
      <w:r>
        <w:rPr>
          <w:spacing w:val="-5"/>
          <w:sz w:val="24"/>
        </w:rPr>
        <w:t> </w:t>
      </w:r>
      <w:r>
        <w:rPr>
          <w:sz w:val="24"/>
        </w:rPr>
        <w:t>industry</w:t>
      </w:r>
      <w:r>
        <w:rPr>
          <w:spacing w:val="-5"/>
          <w:sz w:val="24"/>
        </w:rPr>
        <w:t> </w:t>
      </w:r>
      <w:r>
        <w:rPr>
          <w:sz w:val="24"/>
        </w:rPr>
        <w:t>peers</w:t>
      </w:r>
      <w:r>
        <w:rPr>
          <w:spacing w:val="-5"/>
          <w:sz w:val="24"/>
        </w:rPr>
        <w:t> </w:t>
      </w:r>
      <w:r>
        <w:rPr>
          <w:sz w:val="24"/>
        </w:rPr>
        <w:t>and sector-specific standards.</w:t>
      </w:r>
    </w:p>
    <w:p>
      <w:pPr>
        <w:pStyle w:val="ListParagraph"/>
        <w:numPr>
          <w:ilvl w:val="0"/>
          <w:numId w:val="5"/>
        </w:numPr>
        <w:tabs>
          <w:tab w:pos="386" w:val="left" w:leader="none"/>
        </w:tabs>
        <w:spacing w:line="208" w:lineRule="auto" w:before="120" w:after="0"/>
        <w:ind w:left="120" w:right="1800" w:firstLine="0"/>
        <w:jc w:val="left"/>
        <w:rPr>
          <w:sz w:val="24"/>
        </w:rPr>
      </w:pPr>
      <w:r>
        <w:rPr>
          <w:sz w:val="24"/>
        </w:rPr>
        <w:t>To</w:t>
      </w:r>
      <w:r>
        <w:rPr>
          <w:spacing w:val="-5"/>
          <w:sz w:val="24"/>
        </w:rPr>
        <w:t> </w:t>
      </w:r>
      <w:r>
        <w:rPr>
          <w:sz w:val="24"/>
        </w:rPr>
        <w:t>examine</w:t>
      </w:r>
      <w:r>
        <w:rPr>
          <w:spacing w:val="-5"/>
          <w:sz w:val="24"/>
        </w:rPr>
        <w:t> </w:t>
      </w:r>
      <w:r>
        <w:rPr>
          <w:sz w:val="24"/>
        </w:rPr>
        <w:t>the</w:t>
      </w:r>
      <w:r>
        <w:rPr>
          <w:spacing w:val="-5"/>
          <w:sz w:val="24"/>
        </w:rPr>
        <w:t> </w:t>
      </w:r>
      <w:r>
        <w:rPr>
          <w:sz w:val="24"/>
        </w:rPr>
        <w:t>correlation</w:t>
      </w:r>
      <w:r>
        <w:rPr>
          <w:spacing w:val="-5"/>
          <w:sz w:val="24"/>
        </w:rPr>
        <w:t> </w:t>
      </w:r>
      <w:r>
        <w:rPr>
          <w:sz w:val="24"/>
        </w:rPr>
        <w:t>between</w:t>
      </w:r>
      <w:r>
        <w:rPr>
          <w:spacing w:val="-5"/>
          <w:sz w:val="24"/>
        </w:rPr>
        <w:t> </w:t>
      </w:r>
      <w:r>
        <w:rPr>
          <w:sz w:val="24"/>
        </w:rPr>
        <w:t>RIL's</w:t>
      </w:r>
      <w:r>
        <w:rPr>
          <w:spacing w:val="-5"/>
          <w:sz w:val="24"/>
        </w:rPr>
        <w:t> </w:t>
      </w:r>
      <w:r>
        <w:rPr>
          <w:sz w:val="24"/>
        </w:rPr>
        <w:t>working</w:t>
      </w:r>
      <w:r>
        <w:rPr>
          <w:spacing w:val="-5"/>
          <w:sz w:val="24"/>
        </w:rPr>
        <w:t> </w:t>
      </w:r>
      <w:r>
        <w:rPr>
          <w:sz w:val="24"/>
        </w:rPr>
        <w:t>capital</w:t>
      </w:r>
      <w:r>
        <w:rPr>
          <w:spacing w:val="-5"/>
          <w:sz w:val="24"/>
        </w:rPr>
        <w:t> </w:t>
      </w:r>
      <w:r>
        <w:rPr>
          <w:sz w:val="24"/>
        </w:rPr>
        <w:t>management</w:t>
      </w:r>
      <w:r>
        <w:rPr>
          <w:spacing w:val="-5"/>
          <w:sz w:val="24"/>
        </w:rPr>
        <w:t> </w:t>
      </w:r>
      <w:r>
        <w:rPr>
          <w:sz w:val="24"/>
        </w:rPr>
        <w:t>efficiency and its financial performance indicators.</w:t>
      </w:r>
    </w:p>
    <w:p>
      <w:pPr>
        <w:pStyle w:val="ListParagraph"/>
        <w:numPr>
          <w:ilvl w:val="0"/>
          <w:numId w:val="5"/>
        </w:numPr>
        <w:tabs>
          <w:tab w:pos="386" w:val="left" w:leader="none"/>
        </w:tabs>
        <w:spacing w:line="208" w:lineRule="auto" w:before="120" w:after="0"/>
        <w:ind w:left="120" w:right="1819" w:firstLine="0"/>
        <w:jc w:val="left"/>
        <w:rPr>
          <w:sz w:val="24"/>
        </w:rPr>
      </w:pPr>
      <w:r>
        <w:rPr>
          <w:sz w:val="24"/>
        </w:rPr>
        <w:t>To</w:t>
      </w:r>
      <w:r>
        <w:rPr>
          <w:spacing w:val="-5"/>
          <w:sz w:val="24"/>
        </w:rPr>
        <w:t> </w:t>
      </w:r>
      <w:r>
        <w:rPr>
          <w:sz w:val="24"/>
        </w:rPr>
        <w:t>identify</w:t>
      </w:r>
      <w:r>
        <w:rPr>
          <w:spacing w:val="-5"/>
          <w:sz w:val="24"/>
        </w:rPr>
        <w:t> </w:t>
      </w:r>
      <w:r>
        <w:rPr>
          <w:sz w:val="24"/>
        </w:rPr>
        <w:t>opportunities</w:t>
      </w:r>
      <w:r>
        <w:rPr>
          <w:spacing w:val="-5"/>
          <w:sz w:val="24"/>
        </w:rPr>
        <w:t> </w:t>
      </w:r>
      <w:r>
        <w:rPr>
          <w:sz w:val="24"/>
        </w:rPr>
        <w:t>for</w:t>
      </w:r>
      <w:r>
        <w:rPr>
          <w:spacing w:val="-5"/>
          <w:sz w:val="24"/>
        </w:rPr>
        <w:t> </w:t>
      </w:r>
      <w:r>
        <w:rPr>
          <w:sz w:val="24"/>
        </w:rPr>
        <w:t>working</w:t>
      </w:r>
      <w:r>
        <w:rPr>
          <w:spacing w:val="-5"/>
          <w:sz w:val="24"/>
        </w:rPr>
        <w:t> </w:t>
      </w:r>
      <w:r>
        <w:rPr>
          <w:sz w:val="24"/>
        </w:rPr>
        <w:t>capital</w:t>
      </w:r>
      <w:r>
        <w:rPr>
          <w:spacing w:val="-5"/>
          <w:sz w:val="24"/>
        </w:rPr>
        <w:t> </w:t>
      </w:r>
      <w:r>
        <w:rPr>
          <w:sz w:val="24"/>
        </w:rPr>
        <w:t>optimization</w:t>
      </w:r>
      <w:r>
        <w:rPr>
          <w:spacing w:val="-5"/>
          <w:sz w:val="24"/>
        </w:rPr>
        <w:t> </w:t>
      </w:r>
      <w:r>
        <w:rPr>
          <w:sz w:val="24"/>
        </w:rPr>
        <w:t>and</w:t>
      </w:r>
      <w:r>
        <w:rPr>
          <w:spacing w:val="-5"/>
          <w:sz w:val="24"/>
        </w:rPr>
        <w:t> </w:t>
      </w:r>
      <w:r>
        <w:rPr>
          <w:sz w:val="24"/>
        </w:rPr>
        <w:t>formulate</w:t>
      </w:r>
      <w:r>
        <w:rPr>
          <w:spacing w:val="-5"/>
          <w:sz w:val="24"/>
        </w:rPr>
        <w:t> </w:t>
      </w:r>
      <w:r>
        <w:rPr>
          <w:sz w:val="24"/>
        </w:rPr>
        <w:t>actionable </w:t>
      </w:r>
      <w:r>
        <w:rPr>
          <w:spacing w:val="-2"/>
          <w:sz w:val="24"/>
        </w:rPr>
        <w:t>recommendations.</w:t>
      </w:r>
    </w:p>
    <w:p>
      <w:pPr>
        <w:pStyle w:val="BodyText"/>
        <w:spacing w:before="99"/>
      </w:pPr>
    </w:p>
    <w:p>
      <w:pPr>
        <w:pStyle w:val="Heading2"/>
        <w:numPr>
          <w:ilvl w:val="1"/>
          <w:numId w:val="3"/>
        </w:numPr>
        <w:tabs>
          <w:tab w:pos="653" w:val="left" w:leader="none"/>
        </w:tabs>
        <w:spacing w:line="240" w:lineRule="auto" w:before="0" w:after="0"/>
        <w:ind w:left="653" w:right="0" w:hanging="533"/>
        <w:jc w:val="left"/>
      </w:pPr>
      <w:r>
        <w:rPr/>
        <w:t>Significance of the </w:t>
      </w:r>
      <w:r>
        <w:rPr>
          <w:spacing w:val="-2"/>
        </w:rPr>
        <w:t>Study</w:t>
      </w:r>
    </w:p>
    <w:p>
      <w:pPr>
        <w:pStyle w:val="Heading2"/>
        <w:spacing w:after="0" w:line="240" w:lineRule="auto"/>
        <w:jc w:val="left"/>
        <w:sectPr>
          <w:pgSz w:w="12240" w:h="15840"/>
          <w:pgMar w:top="1500" w:bottom="280" w:left="1440" w:right="0"/>
        </w:sectPr>
      </w:pPr>
    </w:p>
    <w:p>
      <w:pPr>
        <w:pStyle w:val="BodyText"/>
        <w:spacing w:before="75"/>
        <w:ind w:left="120"/>
      </w:pPr>
      <w:r>
        <w:rPr/>
        <w:t>This research offers significant value to multiple </w:t>
      </w:r>
      <w:r>
        <w:rPr>
          <w:spacing w:val="-2"/>
        </w:rPr>
        <w:t>stakeholders:</w:t>
      </w:r>
    </w:p>
    <w:p>
      <w:pPr>
        <w:pStyle w:val="BodyText"/>
        <w:spacing w:before="7"/>
      </w:pPr>
    </w:p>
    <w:p>
      <w:pPr>
        <w:pStyle w:val="Heading4"/>
        <w:spacing w:before="1"/>
      </w:pPr>
      <w:r>
        <w:rPr/>
        <w:t>For Corporate </w:t>
      </w:r>
      <w:r>
        <w:rPr>
          <w:spacing w:val="-2"/>
        </w:rPr>
        <w:t>Management:</w:t>
      </w:r>
    </w:p>
    <w:p>
      <w:pPr>
        <w:pStyle w:val="ListParagraph"/>
        <w:numPr>
          <w:ilvl w:val="0"/>
          <w:numId w:val="6"/>
        </w:numPr>
        <w:tabs>
          <w:tab w:pos="266" w:val="left" w:leader="none"/>
        </w:tabs>
        <w:spacing w:line="208" w:lineRule="auto" w:before="113" w:after="0"/>
        <w:ind w:left="120" w:right="2033" w:firstLine="0"/>
        <w:jc w:val="left"/>
        <w:rPr>
          <w:sz w:val="24"/>
        </w:rPr>
      </w:pPr>
      <w:r>
        <w:rPr>
          <w:sz w:val="24"/>
        </w:rPr>
        <w:t>Provides</w:t>
      </w:r>
      <w:r>
        <w:rPr>
          <w:spacing w:val="-5"/>
          <w:sz w:val="24"/>
        </w:rPr>
        <w:t> </w:t>
      </w:r>
      <w:r>
        <w:rPr>
          <w:sz w:val="24"/>
        </w:rPr>
        <w:t>actionable</w:t>
      </w:r>
      <w:r>
        <w:rPr>
          <w:spacing w:val="-5"/>
          <w:sz w:val="24"/>
        </w:rPr>
        <w:t> </w:t>
      </w:r>
      <w:r>
        <w:rPr>
          <w:sz w:val="24"/>
        </w:rPr>
        <w:t>insights</w:t>
      </w:r>
      <w:r>
        <w:rPr>
          <w:spacing w:val="-5"/>
          <w:sz w:val="24"/>
        </w:rPr>
        <w:t> </w:t>
      </w:r>
      <w:r>
        <w:rPr>
          <w:sz w:val="24"/>
        </w:rPr>
        <w:t>for</w:t>
      </w:r>
      <w:r>
        <w:rPr>
          <w:spacing w:val="-5"/>
          <w:sz w:val="24"/>
        </w:rPr>
        <w:t> </w:t>
      </w:r>
      <w:r>
        <w:rPr>
          <w:sz w:val="24"/>
        </w:rPr>
        <w:t>financial</w:t>
      </w:r>
      <w:r>
        <w:rPr>
          <w:spacing w:val="-5"/>
          <w:sz w:val="24"/>
        </w:rPr>
        <w:t> </w:t>
      </w:r>
      <w:r>
        <w:rPr>
          <w:sz w:val="24"/>
        </w:rPr>
        <w:t>executives</w:t>
      </w:r>
      <w:r>
        <w:rPr>
          <w:spacing w:val="-5"/>
          <w:sz w:val="24"/>
        </w:rPr>
        <w:t> </w:t>
      </w:r>
      <w:r>
        <w:rPr>
          <w:sz w:val="24"/>
        </w:rPr>
        <w:t>managing</w:t>
      </w:r>
      <w:r>
        <w:rPr>
          <w:spacing w:val="-5"/>
          <w:sz w:val="24"/>
        </w:rPr>
        <w:t> </w:t>
      </w:r>
      <w:r>
        <w:rPr>
          <w:sz w:val="24"/>
        </w:rPr>
        <w:t>working</w:t>
      </w:r>
      <w:r>
        <w:rPr>
          <w:spacing w:val="-5"/>
          <w:sz w:val="24"/>
        </w:rPr>
        <w:t> </w:t>
      </w:r>
      <w:r>
        <w:rPr>
          <w:sz w:val="24"/>
        </w:rPr>
        <w:t>capital</w:t>
      </w:r>
      <w:r>
        <w:rPr>
          <w:spacing w:val="-5"/>
          <w:sz w:val="24"/>
        </w:rPr>
        <w:t> </w:t>
      </w:r>
      <w:r>
        <w:rPr>
          <w:sz w:val="24"/>
        </w:rPr>
        <w:t>in large, diversified enterprises</w:t>
      </w:r>
    </w:p>
    <w:p>
      <w:pPr>
        <w:pStyle w:val="ListParagraph"/>
        <w:numPr>
          <w:ilvl w:val="0"/>
          <w:numId w:val="6"/>
        </w:numPr>
        <w:tabs>
          <w:tab w:pos="266" w:val="left" w:leader="none"/>
        </w:tabs>
        <w:spacing w:line="208" w:lineRule="auto" w:before="120" w:after="0"/>
        <w:ind w:left="120" w:right="1673" w:firstLine="0"/>
        <w:jc w:val="left"/>
        <w:rPr>
          <w:sz w:val="24"/>
        </w:rPr>
      </w:pPr>
      <w:r>
        <w:rPr>
          <w:sz w:val="24"/>
        </w:rPr>
        <w:t>Demonstrates</w:t>
      </w:r>
      <w:r>
        <w:rPr>
          <w:spacing w:val="-4"/>
          <w:sz w:val="24"/>
        </w:rPr>
        <w:t> </w:t>
      </w:r>
      <w:r>
        <w:rPr>
          <w:sz w:val="24"/>
        </w:rPr>
        <w:t>the</w:t>
      </w:r>
      <w:r>
        <w:rPr>
          <w:spacing w:val="-4"/>
          <w:sz w:val="24"/>
        </w:rPr>
        <w:t> </w:t>
      </w:r>
      <w:r>
        <w:rPr>
          <w:sz w:val="24"/>
        </w:rPr>
        <w:t>impact</w:t>
      </w:r>
      <w:r>
        <w:rPr>
          <w:spacing w:val="-4"/>
          <w:sz w:val="24"/>
        </w:rPr>
        <w:t> </w:t>
      </w:r>
      <w:r>
        <w:rPr>
          <w:sz w:val="24"/>
        </w:rPr>
        <w:t>of</w:t>
      </w:r>
      <w:r>
        <w:rPr>
          <w:spacing w:val="-4"/>
          <w:sz w:val="24"/>
        </w:rPr>
        <w:t> </w:t>
      </w:r>
      <w:r>
        <w:rPr>
          <w:sz w:val="24"/>
        </w:rPr>
        <w:t>working</w:t>
      </w:r>
      <w:r>
        <w:rPr>
          <w:spacing w:val="-4"/>
          <w:sz w:val="24"/>
        </w:rPr>
        <w:t> </w:t>
      </w:r>
      <w:r>
        <w:rPr>
          <w:sz w:val="24"/>
        </w:rPr>
        <w:t>capital</w:t>
      </w:r>
      <w:r>
        <w:rPr>
          <w:spacing w:val="-4"/>
          <w:sz w:val="24"/>
        </w:rPr>
        <w:t> </w:t>
      </w:r>
      <w:r>
        <w:rPr>
          <w:sz w:val="24"/>
        </w:rPr>
        <w:t>strategies</w:t>
      </w:r>
      <w:r>
        <w:rPr>
          <w:spacing w:val="-4"/>
          <w:sz w:val="24"/>
        </w:rPr>
        <w:t> </w:t>
      </w:r>
      <w:r>
        <w:rPr>
          <w:sz w:val="24"/>
        </w:rPr>
        <w:t>on</w:t>
      </w:r>
      <w:r>
        <w:rPr>
          <w:spacing w:val="-4"/>
          <w:sz w:val="24"/>
        </w:rPr>
        <w:t> </w:t>
      </w:r>
      <w:r>
        <w:rPr>
          <w:sz w:val="24"/>
        </w:rPr>
        <w:t>financial</w:t>
      </w:r>
      <w:r>
        <w:rPr>
          <w:spacing w:val="-4"/>
          <w:sz w:val="24"/>
        </w:rPr>
        <w:t> </w:t>
      </w:r>
      <w:r>
        <w:rPr>
          <w:sz w:val="24"/>
        </w:rPr>
        <w:t>performance</w:t>
      </w:r>
      <w:r>
        <w:rPr>
          <w:spacing w:val="-4"/>
          <w:sz w:val="24"/>
        </w:rPr>
        <w:t> </w:t>
      </w:r>
      <w:r>
        <w:rPr>
          <w:sz w:val="24"/>
        </w:rPr>
        <w:t>and shareholder value</w:t>
      </w:r>
    </w:p>
    <w:p>
      <w:pPr>
        <w:pStyle w:val="ListParagraph"/>
        <w:numPr>
          <w:ilvl w:val="0"/>
          <w:numId w:val="6"/>
        </w:numPr>
        <w:tabs>
          <w:tab w:pos="266" w:val="left" w:leader="none"/>
        </w:tabs>
        <w:spacing w:line="208" w:lineRule="auto" w:before="120" w:after="0"/>
        <w:ind w:left="120" w:right="3021" w:firstLine="0"/>
        <w:jc w:val="left"/>
        <w:rPr>
          <w:sz w:val="24"/>
        </w:rPr>
      </w:pPr>
      <w:r>
        <w:rPr>
          <w:sz w:val="24"/>
        </w:rPr>
        <w:t>Offers</w:t>
      </w:r>
      <w:r>
        <w:rPr>
          <w:spacing w:val="-5"/>
          <w:sz w:val="24"/>
        </w:rPr>
        <w:t> </w:t>
      </w:r>
      <w:r>
        <w:rPr>
          <w:sz w:val="24"/>
        </w:rPr>
        <w:t>a</w:t>
      </w:r>
      <w:r>
        <w:rPr>
          <w:spacing w:val="-5"/>
          <w:sz w:val="24"/>
        </w:rPr>
        <w:t> </w:t>
      </w:r>
      <w:r>
        <w:rPr>
          <w:sz w:val="24"/>
        </w:rPr>
        <w:t>framework</w:t>
      </w:r>
      <w:r>
        <w:rPr>
          <w:spacing w:val="-5"/>
          <w:sz w:val="24"/>
        </w:rPr>
        <w:t> </w:t>
      </w:r>
      <w:r>
        <w:rPr>
          <w:sz w:val="24"/>
        </w:rPr>
        <w:t>for</w:t>
      </w:r>
      <w:r>
        <w:rPr>
          <w:spacing w:val="-5"/>
          <w:sz w:val="24"/>
        </w:rPr>
        <w:t> </w:t>
      </w:r>
      <w:r>
        <w:rPr>
          <w:sz w:val="24"/>
        </w:rPr>
        <w:t>segment-specific</w:t>
      </w:r>
      <w:r>
        <w:rPr>
          <w:spacing w:val="-5"/>
          <w:sz w:val="24"/>
        </w:rPr>
        <w:t> </w:t>
      </w:r>
      <w:r>
        <w:rPr>
          <w:sz w:val="24"/>
        </w:rPr>
        <w:t>working</w:t>
      </w:r>
      <w:r>
        <w:rPr>
          <w:spacing w:val="-5"/>
          <w:sz w:val="24"/>
        </w:rPr>
        <w:t> </w:t>
      </w:r>
      <w:r>
        <w:rPr>
          <w:sz w:val="24"/>
        </w:rPr>
        <w:t>capital</w:t>
      </w:r>
      <w:r>
        <w:rPr>
          <w:spacing w:val="-5"/>
          <w:sz w:val="24"/>
        </w:rPr>
        <w:t> </w:t>
      </w:r>
      <w:r>
        <w:rPr>
          <w:sz w:val="24"/>
        </w:rPr>
        <w:t>optimization</w:t>
      </w:r>
      <w:r>
        <w:rPr>
          <w:spacing w:val="-5"/>
          <w:sz w:val="24"/>
        </w:rPr>
        <w:t> </w:t>
      </w:r>
      <w:r>
        <w:rPr>
          <w:sz w:val="24"/>
        </w:rPr>
        <w:t>in </w:t>
      </w:r>
      <w:r>
        <w:rPr>
          <w:spacing w:val="-2"/>
          <w:sz w:val="24"/>
        </w:rPr>
        <w:t>conglomerates</w:t>
      </w:r>
    </w:p>
    <w:p>
      <w:pPr>
        <w:pStyle w:val="BodyText"/>
        <w:spacing w:before="14"/>
      </w:pPr>
    </w:p>
    <w:p>
      <w:pPr>
        <w:pStyle w:val="Heading4"/>
      </w:pPr>
      <w:r>
        <w:rPr/>
        <w:t>For Investors and </w:t>
      </w:r>
      <w:r>
        <w:rPr>
          <w:spacing w:val="-2"/>
        </w:rPr>
        <w:t>Analysts:</w:t>
      </w:r>
    </w:p>
    <w:p>
      <w:pPr>
        <w:pStyle w:val="ListParagraph"/>
        <w:numPr>
          <w:ilvl w:val="0"/>
          <w:numId w:val="6"/>
        </w:numPr>
        <w:tabs>
          <w:tab w:pos="266" w:val="left" w:leader="none"/>
        </w:tabs>
        <w:spacing w:line="208" w:lineRule="auto" w:before="113" w:after="0"/>
        <w:ind w:left="120" w:right="1801" w:firstLine="0"/>
        <w:jc w:val="left"/>
        <w:rPr>
          <w:sz w:val="24"/>
        </w:rPr>
      </w:pPr>
      <w:r>
        <w:rPr>
          <w:sz w:val="24"/>
        </w:rPr>
        <w:t>Enhances</w:t>
      </w:r>
      <w:r>
        <w:rPr>
          <w:spacing w:val="-5"/>
          <w:sz w:val="24"/>
        </w:rPr>
        <w:t> </w:t>
      </w:r>
      <w:r>
        <w:rPr>
          <w:sz w:val="24"/>
        </w:rPr>
        <w:t>understanding</w:t>
      </w:r>
      <w:r>
        <w:rPr>
          <w:spacing w:val="-5"/>
          <w:sz w:val="24"/>
        </w:rPr>
        <w:t> </w:t>
      </w:r>
      <w:r>
        <w:rPr>
          <w:sz w:val="24"/>
        </w:rPr>
        <w:t>of</w:t>
      </w:r>
      <w:r>
        <w:rPr>
          <w:spacing w:val="-5"/>
          <w:sz w:val="24"/>
        </w:rPr>
        <w:t> </w:t>
      </w:r>
      <w:r>
        <w:rPr>
          <w:sz w:val="24"/>
        </w:rPr>
        <w:t>RIL's</w:t>
      </w:r>
      <w:r>
        <w:rPr>
          <w:spacing w:val="-5"/>
          <w:sz w:val="24"/>
        </w:rPr>
        <w:t> </w:t>
      </w:r>
      <w:r>
        <w:rPr>
          <w:sz w:val="24"/>
        </w:rPr>
        <w:t>operational</w:t>
      </w:r>
      <w:r>
        <w:rPr>
          <w:spacing w:val="-5"/>
          <w:sz w:val="24"/>
        </w:rPr>
        <w:t> </w:t>
      </w:r>
      <w:r>
        <w:rPr>
          <w:sz w:val="24"/>
        </w:rPr>
        <w:t>efficiency</w:t>
      </w:r>
      <w:r>
        <w:rPr>
          <w:spacing w:val="-5"/>
          <w:sz w:val="24"/>
        </w:rPr>
        <w:t> </w:t>
      </w:r>
      <w:r>
        <w:rPr>
          <w:sz w:val="24"/>
        </w:rPr>
        <w:t>and</w:t>
      </w:r>
      <w:r>
        <w:rPr>
          <w:spacing w:val="-5"/>
          <w:sz w:val="24"/>
        </w:rPr>
        <w:t> </w:t>
      </w:r>
      <w:r>
        <w:rPr>
          <w:sz w:val="24"/>
        </w:rPr>
        <w:t>financial</w:t>
      </w:r>
      <w:r>
        <w:rPr>
          <w:spacing w:val="-5"/>
          <w:sz w:val="24"/>
        </w:rPr>
        <w:t> </w:t>
      </w:r>
      <w:r>
        <w:rPr>
          <w:sz w:val="24"/>
        </w:rPr>
        <w:t>management </w:t>
      </w:r>
      <w:r>
        <w:rPr>
          <w:spacing w:val="-2"/>
          <w:sz w:val="24"/>
        </w:rPr>
        <w:t>capabilities</w:t>
      </w:r>
    </w:p>
    <w:p>
      <w:pPr>
        <w:pStyle w:val="ListParagraph"/>
        <w:numPr>
          <w:ilvl w:val="0"/>
          <w:numId w:val="6"/>
        </w:numPr>
        <w:tabs>
          <w:tab w:pos="266" w:val="left" w:leader="none"/>
        </w:tabs>
        <w:spacing w:line="208" w:lineRule="auto" w:before="120" w:after="0"/>
        <w:ind w:left="120" w:right="2547" w:firstLine="0"/>
        <w:jc w:val="left"/>
        <w:rPr>
          <w:sz w:val="24"/>
        </w:rPr>
      </w:pPr>
      <w:r>
        <w:rPr>
          <w:sz w:val="24"/>
        </w:rPr>
        <w:t>Provides</w:t>
      </w:r>
      <w:r>
        <w:rPr>
          <w:spacing w:val="-4"/>
          <w:sz w:val="24"/>
        </w:rPr>
        <w:t> </w:t>
      </w:r>
      <w:r>
        <w:rPr>
          <w:sz w:val="24"/>
        </w:rPr>
        <w:t>deeper</w:t>
      </w:r>
      <w:r>
        <w:rPr>
          <w:spacing w:val="-4"/>
          <w:sz w:val="24"/>
        </w:rPr>
        <w:t> </w:t>
      </w:r>
      <w:r>
        <w:rPr>
          <w:sz w:val="24"/>
        </w:rPr>
        <w:t>insights</w:t>
      </w:r>
      <w:r>
        <w:rPr>
          <w:spacing w:val="-4"/>
          <w:sz w:val="24"/>
        </w:rPr>
        <w:t> </w:t>
      </w:r>
      <w:r>
        <w:rPr>
          <w:sz w:val="24"/>
        </w:rPr>
        <w:t>into</w:t>
      </w:r>
      <w:r>
        <w:rPr>
          <w:spacing w:val="-4"/>
          <w:sz w:val="24"/>
        </w:rPr>
        <w:t> </w:t>
      </w:r>
      <w:r>
        <w:rPr>
          <w:sz w:val="24"/>
        </w:rPr>
        <w:t>the</w:t>
      </w:r>
      <w:r>
        <w:rPr>
          <w:spacing w:val="-4"/>
          <w:sz w:val="24"/>
        </w:rPr>
        <w:t> </w:t>
      </w:r>
      <w:r>
        <w:rPr>
          <w:sz w:val="24"/>
        </w:rPr>
        <w:t>company's</w:t>
      </w:r>
      <w:r>
        <w:rPr>
          <w:spacing w:val="-4"/>
          <w:sz w:val="24"/>
        </w:rPr>
        <w:t> </w:t>
      </w:r>
      <w:r>
        <w:rPr>
          <w:sz w:val="24"/>
        </w:rPr>
        <w:t>liquidity</w:t>
      </w:r>
      <w:r>
        <w:rPr>
          <w:spacing w:val="-4"/>
          <w:sz w:val="24"/>
        </w:rPr>
        <w:t> </w:t>
      </w:r>
      <w:r>
        <w:rPr>
          <w:sz w:val="24"/>
        </w:rPr>
        <w:t>position</w:t>
      </w:r>
      <w:r>
        <w:rPr>
          <w:spacing w:val="-4"/>
          <w:sz w:val="24"/>
        </w:rPr>
        <w:t> </w:t>
      </w:r>
      <w:r>
        <w:rPr>
          <w:sz w:val="24"/>
        </w:rPr>
        <w:t>and</w:t>
      </w:r>
      <w:r>
        <w:rPr>
          <w:spacing w:val="-4"/>
          <w:sz w:val="24"/>
        </w:rPr>
        <w:t> </w:t>
      </w:r>
      <w:r>
        <w:rPr>
          <w:sz w:val="24"/>
        </w:rPr>
        <w:t>cash</w:t>
      </w:r>
      <w:r>
        <w:rPr>
          <w:spacing w:val="-4"/>
          <w:sz w:val="24"/>
        </w:rPr>
        <w:t> </w:t>
      </w:r>
      <w:r>
        <w:rPr>
          <w:sz w:val="24"/>
        </w:rPr>
        <w:t>flow </w:t>
      </w:r>
      <w:r>
        <w:rPr>
          <w:spacing w:val="-2"/>
          <w:sz w:val="24"/>
        </w:rPr>
        <w:t>dynamics</w:t>
      </w:r>
    </w:p>
    <w:p>
      <w:pPr>
        <w:pStyle w:val="ListParagraph"/>
        <w:numPr>
          <w:ilvl w:val="0"/>
          <w:numId w:val="6"/>
        </w:numPr>
        <w:tabs>
          <w:tab w:pos="266" w:val="left" w:leader="none"/>
        </w:tabs>
        <w:spacing w:line="208" w:lineRule="auto" w:before="120" w:after="0"/>
        <w:ind w:left="120" w:right="2694" w:firstLine="0"/>
        <w:jc w:val="left"/>
        <w:rPr>
          <w:sz w:val="24"/>
        </w:rPr>
      </w:pPr>
      <w:r>
        <w:rPr>
          <w:sz w:val="24"/>
        </w:rPr>
        <w:t>Offers</w:t>
      </w:r>
      <w:r>
        <w:rPr>
          <w:spacing w:val="-5"/>
          <w:sz w:val="24"/>
        </w:rPr>
        <w:t> </w:t>
      </w:r>
      <w:r>
        <w:rPr>
          <w:sz w:val="24"/>
        </w:rPr>
        <w:t>additional</w:t>
      </w:r>
      <w:r>
        <w:rPr>
          <w:spacing w:val="-5"/>
          <w:sz w:val="24"/>
        </w:rPr>
        <w:t> </w:t>
      </w:r>
      <w:r>
        <w:rPr>
          <w:sz w:val="24"/>
        </w:rPr>
        <w:t>metrics</w:t>
      </w:r>
      <w:r>
        <w:rPr>
          <w:spacing w:val="-5"/>
          <w:sz w:val="24"/>
        </w:rPr>
        <w:t> </w:t>
      </w:r>
      <w:r>
        <w:rPr>
          <w:sz w:val="24"/>
        </w:rPr>
        <w:t>for</w:t>
      </w:r>
      <w:r>
        <w:rPr>
          <w:spacing w:val="-5"/>
          <w:sz w:val="24"/>
        </w:rPr>
        <w:t> </w:t>
      </w:r>
      <w:r>
        <w:rPr>
          <w:sz w:val="24"/>
        </w:rPr>
        <w:t>evaluating</w:t>
      </w:r>
      <w:r>
        <w:rPr>
          <w:spacing w:val="-5"/>
          <w:sz w:val="24"/>
        </w:rPr>
        <w:t> </w:t>
      </w:r>
      <w:r>
        <w:rPr>
          <w:sz w:val="24"/>
        </w:rPr>
        <w:t>the</w:t>
      </w:r>
      <w:r>
        <w:rPr>
          <w:spacing w:val="-5"/>
          <w:sz w:val="24"/>
        </w:rPr>
        <w:t> </w:t>
      </w:r>
      <w:r>
        <w:rPr>
          <w:sz w:val="24"/>
        </w:rPr>
        <w:t>company's</w:t>
      </w:r>
      <w:r>
        <w:rPr>
          <w:spacing w:val="-5"/>
          <w:sz w:val="24"/>
        </w:rPr>
        <w:t> </w:t>
      </w:r>
      <w:r>
        <w:rPr>
          <w:sz w:val="24"/>
        </w:rPr>
        <w:t>financial</w:t>
      </w:r>
      <w:r>
        <w:rPr>
          <w:spacing w:val="-5"/>
          <w:sz w:val="24"/>
        </w:rPr>
        <w:t> </w:t>
      </w:r>
      <w:r>
        <w:rPr>
          <w:sz w:val="24"/>
        </w:rPr>
        <w:t>health</w:t>
      </w:r>
      <w:r>
        <w:rPr>
          <w:spacing w:val="-5"/>
          <w:sz w:val="24"/>
        </w:rPr>
        <w:t> </w:t>
      </w:r>
      <w:r>
        <w:rPr>
          <w:sz w:val="24"/>
        </w:rPr>
        <w:t>and management quality</w:t>
      </w:r>
    </w:p>
    <w:p>
      <w:pPr>
        <w:pStyle w:val="BodyText"/>
        <w:spacing w:before="14"/>
      </w:pPr>
    </w:p>
    <w:p>
      <w:pPr>
        <w:pStyle w:val="Heading4"/>
        <w:spacing w:before="1"/>
      </w:pPr>
      <w:r>
        <w:rPr/>
        <w:t>For Academic </w:t>
      </w:r>
      <w:r>
        <w:rPr>
          <w:spacing w:val="-2"/>
        </w:rPr>
        <w:t>Research:</w:t>
      </w:r>
    </w:p>
    <w:p>
      <w:pPr>
        <w:pStyle w:val="ListParagraph"/>
        <w:numPr>
          <w:ilvl w:val="0"/>
          <w:numId w:val="6"/>
        </w:numPr>
        <w:tabs>
          <w:tab w:pos="266" w:val="left" w:leader="none"/>
        </w:tabs>
        <w:spacing w:line="208" w:lineRule="auto" w:before="113" w:after="0"/>
        <w:ind w:left="120" w:right="1766" w:firstLine="0"/>
        <w:jc w:val="left"/>
        <w:rPr>
          <w:sz w:val="24"/>
        </w:rPr>
      </w:pPr>
      <w:r>
        <w:rPr>
          <w:sz w:val="24"/>
        </w:rPr>
        <w:t>Contributes</w:t>
      </w:r>
      <w:r>
        <w:rPr>
          <w:spacing w:val="-4"/>
          <w:sz w:val="24"/>
        </w:rPr>
        <w:t> </w:t>
      </w:r>
      <w:r>
        <w:rPr>
          <w:sz w:val="24"/>
        </w:rPr>
        <w:t>to</w:t>
      </w:r>
      <w:r>
        <w:rPr>
          <w:spacing w:val="-4"/>
          <w:sz w:val="24"/>
        </w:rPr>
        <w:t> </w:t>
      </w:r>
      <w:r>
        <w:rPr>
          <w:sz w:val="24"/>
        </w:rPr>
        <w:t>the</w:t>
      </w:r>
      <w:r>
        <w:rPr>
          <w:spacing w:val="-4"/>
          <w:sz w:val="24"/>
        </w:rPr>
        <w:t> </w:t>
      </w:r>
      <w:r>
        <w:rPr>
          <w:sz w:val="24"/>
        </w:rPr>
        <w:t>literature</w:t>
      </w:r>
      <w:r>
        <w:rPr>
          <w:spacing w:val="-4"/>
          <w:sz w:val="24"/>
        </w:rPr>
        <w:t> </w:t>
      </w:r>
      <w:r>
        <w:rPr>
          <w:sz w:val="24"/>
        </w:rPr>
        <w:t>on</w:t>
      </w:r>
      <w:r>
        <w:rPr>
          <w:spacing w:val="-4"/>
          <w:sz w:val="24"/>
        </w:rPr>
        <w:t> </w:t>
      </w:r>
      <w:r>
        <w:rPr>
          <w:sz w:val="24"/>
        </w:rPr>
        <w:t>working</w:t>
      </w:r>
      <w:r>
        <w:rPr>
          <w:spacing w:val="-4"/>
          <w:sz w:val="24"/>
        </w:rPr>
        <w:t> </w:t>
      </w:r>
      <w:r>
        <w:rPr>
          <w:sz w:val="24"/>
        </w:rPr>
        <w:t>capital</w:t>
      </w:r>
      <w:r>
        <w:rPr>
          <w:spacing w:val="-4"/>
          <w:sz w:val="24"/>
        </w:rPr>
        <w:t> </w:t>
      </w:r>
      <w:r>
        <w:rPr>
          <w:sz w:val="24"/>
        </w:rPr>
        <w:t>management</w:t>
      </w:r>
      <w:r>
        <w:rPr>
          <w:spacing w:val="-4"/>
          <w:sz w:val="24"/>
        </w:rPr>
        <w:t> </w:t>
      </w:r>
      <w:r>
        <w:rPr>
          <w:sz w:val="24"/>
        </w:rPr>
        <w:t>in</w:t>
      </w:r>
      <w:r>
        <w:rPr>
          <w:spacing w:val="-4"/>
          <w:sz w:val="24"/>
        </w:rPr>
        <w:t> </w:t>
      </w:r>
      <w:r>
        <w:rPr>
          <w:sz w:val="24"/>
        </w:rPr>
        <w:t>diversified</w:t>
      </w:r>
      <w:r>
        <w:rPr>
          <w:spacing w:val="-4"/>
          <w:sz w:val="24"/>
        </w:rPr>
        <w:t> </w:t>
      </w:r>
      <w:r>
        <w:rPr>
          <w:sz w:val="24"/>
        </w:rPr>
        <w:t>business </w:t>
      </w:r>
      <w:r>
        <w:rPr>
          <w:spacing w:val="-2"/>
          <w:sz w:val="24"/>
        </w:rPr>
        <w:t>operations</w:t>
      </w:r>
    </w:p>
    <w:p>
      <w:pPr>
        <w:pStyle w:val="ListParagraph"/>
        <w:numPr>
          <w:ilvl w:val="0"/>
          <w:numId w:val="6"/>
        </w:numPr>
        <w:tabs>
          <w:tab w:pos="266" w:val="left" w:leader="none"/>
        </w:tabs>
        <w:spacing w:line="208" w:lineRule="auto" w:before="120" w:after="0"/>
        <w:ind w:left="120" w:right="2793" w:firstLine="0"/>
        <w:jc w:val="left"/>
        <w:rPr>
          <w:sz w:val="24"/>
        </w:rPr>
      </w:pPr>
      <w:r>
        <w:rPr>
          <w:sz w:val="24"/>
        </w:rPr>
        <w:t>Explores</w:t>
      </w:r>
      <w:r>
        <w:rPr>
          <w:spacing w:val="-5"/>
          <w:sz w:val="24"/>
        </w:rPr>
        <w:t> </w:t>
      </w:r>
      <w:r>
        <w:rPr>
          <w:sz w:val="24"/>
        </w:rPr>
        <w:t>the</w:t>
      </w:r>
      <w:r>
        <w:rPr>
          <w:spacing w:val="-5"/>
          <w:sz w:val="24"/>
        </w:rPr>
        <w:t> </w:t>
      </w:r>
      <w:r>
        <w:rPr>
          <w:sz w:val="24"/>
        </w:rPr>
        <w:t>relationship</w:t>
      </w:r>
      <w:r>
        <w:rPr>
          <w:spacing w:val="-5"/>
          <w:sz w:val="24"/>
        </w:rPr>
        <w:t> </w:t>
      </w:r>
      <w:r>
        <w:rPr>
          <w:sz w:val="24"/>
        </w:rPr>
        <w:t>between</w:t>
      </w:r>
      <w:r>
        <w:rPr>
          <w:spacing w:val="-5"/>
          <w:sz w:val="24"/>
        </w:rPr>
        <w:t> </w:t>
      </w:r>
      <w:r>
        <w:rPr>
          <w:sz w:val="24"/>
        </w:rPr>
        <w:t>working</w:t>
      </w:r>
      <w:r>
        <w:rPr>
          <w:spacing w:val="-5"/>
          <w:sz w:val="24"/>
        </w:rPr>
        <w:t> </w:t>
      </w:r>
      <w:r>
        <w:rPr>
          <w:sz w:val="24"/>
        </w:rPr>
        <w:t>capital</w:t>
      </w:r>
      <w:r>
        <w:rPr>
          <w:spacing w:val="-5"/>
          <w:sz w:val="24"/>
        </w:rPr>
        <w:t> </w:t>
      </w:r>
      <w:r>
        <w:rPr>
          <w:sz w:val="24"/>
        </w:rPr>
        <w:t>efficiency</w:t>
      </w:r>
      <w:r>
        <w:rPr>
          <w:spacing w:val="-5"/>
          <w:sz w:val="24"/>
        </w:rPr>
        <w:t> </w:t>
      </w:r>
      <w:r>
        <w:rPr>
          <w:sz w:val="24"/>
        </w:rPr>
        <w:t>and</w:t>
      </w:r>
      <w:r>
        <w:rPr>
          <w:spacing w:val="-5"/>
          <w:sz w:val="24"/>
        </w:rPr>
        <w:t> </w:t>
      </w:r>
      <w:r>
        <w:rPr>
          <w:sz w:val="24"/>
        </w:rPr>
        <w:t>financial performance in the Indian corporate context</w:t>
      </w:r>
    </w:p>
    <w:p>
      <w:pPr>
        <w:pStyle w:val="ListParagraph"/>
        <w:numPr>
          <w:ilvl w:val="0"/>
          <w:numId w:val="6"/>
        </w:numPr>
        <w:tabs>
          <w:tab w:pos="266" w:val="left" w:leader="none"/>
        </w:tabs>
        <w:spacing w:line="208" w:lineRule="auto" w:before="119" w:after="0"/>
        <w:ind w:left="120" w:right="2634" w:firstLine="0"/>
        <w:jc w:val="left"/>
        <w:rPr>
          <w:sz w:val="24"/>
        </w:rPr>
      </w:pPr>
      <w:r>
        <w:rPr>
          <w:sz w:val="24"/>
        </w:rPr>
        <w:t>Examines</w:t>
      </w:r>
      <w:r>
        <w:rPr>
          <w:spacing w:val="-7"/>
          <w:sz w:val="24"/>
        </w:rPr>
        <w:t> </w:t>
      </w:r>
      <w:r>
        <w:rPr>
          <w:sz w:val="24"/>
        </w:rPr>
        <w:t>industry-specific</w:t>
      </w:r>
      <w:r>
        <w:rPr>
          <w:spacing w:val="-7"/>
          <w:sz w:val="24"/>
        </w:rPr>
        <w:t> </w:t>
      </w:r>
      <w:r>
        <w:rPr>
          <w:sz w:val="24"/>
        </w:rPr>
        <w:t>working</w:t>
      </w:r>
      <w:r>
        <w:rPr>
          <w:spacing w:val="-7"/>
          <w:sz w:val="24"/>
        </w:rPr>
        <w:t> </w:t>
      </w:r>
      <w:r>
        <w:rPr>
          <w:sz w:val="24"/>
        </w:rPr>
        <w:t>capital</w:t>
      </w:r>
      <w:r>
        <w:rPr>
          <w:spacing w:val="-7"/>
          <w:sz w:val="24"/>
        </w:rPr>
        <w:t> </w:t>
      </w:r>
      <w:r>
        <w:rPr>
          <w:sz w:val="24"/>
        </w:rPr>
        <w:t>requirements</w:t>
      </w:r>
      <w:r>
        <w:rPr>
          <w:spacing w:val="-7"/>
          <w:sz w:val="24"/>
        </w:rPr>
        <w:t> </w:t>
      </w:r>
      <w:r>
        <w:rPr>
          <w:sz w:val="24"/>
        </w:rPr>
        <w:t>and</w:t>
      </w:r>
      <w:r>
        <w:rPr>
          <w:spacing w:val="-7"/>
          <w:sz w:val="24"/>
        </w:rPr>
        <w:t> </w:t>
      </w:r>
      <w:r>
        <w:rPr>
          <w:sz w:val="24"/>
        </w:rPr>
        <w:t>management </w:t>
      </w:r>
      <w:r>
        <w:rPr>
          <w:spacing w:val="-2"/>
          <w:sz w:val="24"/>
        </w:rPr>
        <w:t>approaches</w:t>
      </w:r>
    </w:p>
    <w:p>
      <w:pPr>
        <w:pStyle w:val="BodyText"/>
        <w:spacing w:before="15"/>
      </w:pPr>
    </w:p>
    <w:p>
      <w:pPr>
        <w:pStyle w:val="Heading4"/>
      </w:pPr>
      <w:r>
        <w:rPr/>
        <w:t>For </w:t>
      </w:r>
      <w:r>
        <w:rPr>
          <w:spacing w:val="-2"/>
        </w:rPr>
        <w:t>Policymakers:</w:t>
      </w:r>
    </w:p>
    <w:p>
      <w:pPr>
        <w:pStyle w:val="ListParagraph"/>
        <w:numPr>
          <w:ilvl w:val="0"/>
          <w:numId w:val="6"/>
        </w:numPr>
        <w:tabs>
          <w:tab w:pos="266" w:val="left" w:leader="none"/>
        </w:tabs>
        <w:spacing w:line="208" w:lineRule="auto" w:before="113" w:after="0"/>
        <w:ind w:left="120" w:right="2220" w:firstLine="0"/>
        <w:jc w:val="left"/>
        <w:rPr>
          <w:sz w:val="24"/>
        </w:rPr>
      </w:pPr>
      <w:r>
        <w:rPr>
          <w:sz w:val="24"/>
        </w:rPr>
        <w:t>Illustrates</w:t>
      </w:r>
      <w:r>
        <w:rPr>
          <w:spacing w:val="-4"/>
          <w:sz w:val="24"/>
        </w:rPr>
        <w:t> </w:t>
      </w:r>
      <w:r>
        <w:rPr>
          <w:sz w:val="24"/>
        </w:rPr>
        <w:t>working</w:t>
      </w:r>
      <w:r>
        <w:rPr>
          <w:spacing w:val="-4"/>
          <w:sz w:val="24"/>
        </w:rPr>
        <w:t> </w:t>
      </w:r>
      <w:r>
        <w:rPr>
          <w:sz w:val="24"/>
        </w:rPr>
        <w:t>capital</w:t>
      </w:r>
      <w:r>
        <w:rPr>
          <w:spacing w:val="-4"/>
          <w:sz w:val="24"/>
        </w:rPr>
        <w:t> </w:t>
      </w:r>
      <w:r>
        <w:rPr>
          <w:sz w:val="24"/>
        </w:rPr>
        <w:t>challenges</w:t>
      </w:r>
      <w:r>
        <w:rPr>
          <w:spacing w:val="-4"/>
          <w:sz w:val="24"/>
        </w:rPr>
        <w:t> </w:t>
      </w:r>
      <w:r>
        <w:rPr>
          <w:sz w:val="24"/>
        </w:rPr>
        <w:t>and</w:t>
      </w:r>
      <w:r>
        <w:rPr>
          <w:spacing w:val="-4"/>
          <w:sz w:val="24"/>
        </w:rPr>
        <w:t> </w:t>
      </w:r>
      <w:r>
        <w:rPr>
          <w:sz w:val="24"/>
        </w:rPr>
        <w:t>practices</w:t>
      </w:r>
      <w:r>
        <w:rPr>
          <w:spacing w:val="-4"/>
          <w:sz w:val="24"/>
        </w:rPr>
        <w:t> </w:t>
      </w:r>
      <w:r>
        <w:rPr>
          <w:sz w:val="24"/>
        </w:rPr>
        <w:t>in</w:t>
      </w:r>
      <w:r>
        <w:rPr>
          <w:spacing w:val="-4"/>
          <w:sz w:val="24"/>
        </w:rPr>
        <w:t> </w:t>
      </w:r>
      <w:r>
        <w:rPr>
          <w:sz w:val="24"/>
        </w:rPr>
        <w:t>key</w:t>
      </w:r>
      <w:r>
        <w:rPr>
          <w:spacing w:val="-4"/>
          <w:sz w:val="24"/>
        </w:rPr>
        <w:t> </w:t>
      </w:r>
      <w:r>
        <w:rPr>
          <w:sz w:val="24"/>
        </w:rPr>
        <w:t>sectors</w:t>
      </w:r>
      <w:r>
        <w:rPr>
          <w:spacing w:val="-4"/>
          <w:sz w:val="24"/>
        </w:rPr>
        <w:t> </w:t>
      </w:r>
      <w:r>
        <w:rPr>
          <w:sz w:val="24"/>
        </w:rPr>
        <w:t>of</w:t>
      </w:r>
      <w:r>
        <w:rPr>
          <w:spacing w:val="-4"/>
          <w:sz w:val="24"/>
        </w:rPr>
        <w:t> </w:t>
      </w:r>
      <w:r>
        <w:rPr>
          <w:sz w:val="24"/>
        </w:rPr>
        <w:t>the</w:t>
      </w:r>
      <w:r>
        <w:rPr>
          <w:spacing w:val="-4"/>
          <w:sz w:val="24"/>
        </w:rPr>
        <w:t> </w:t>
      </w:r>
      <w:r>
        <w:rPr>
          <w:sz w:val="24"/>
        </w:rPr>
        <w:t>Indian </w:t>
      </w:r>
      <w:r>
        <w:rPr>
          <w:spacing w:val="-2"/>
          <w:sz w:val="24"/>
        </w:rPr>
        <w:t>economy</w:t>
      </w:r>
    </w:p>
    <w:p>
      <w:pPr>
        <w:pStyle w:val="ListParagraph"/>
        <w:numPr>
          <w:ilvl w:val="0"/>
          <w:numId w:val="6"/>
        </w:numPr>
        <w:tabs>
          <w:tab w:pos="266" w:val="left" w:leader="none"/>
        </w:tabs>
        <w:spacing w:line="240" w:lineRule="auto" w:before="91" w:after="0"/>
        <w:ind w:left="266" w:right="0" w:hanging="146"/>
        <w:jc w:val="left"/>
        <w:rPr>
          <w:sz w:val="24"/>
        </w:rPr>
      </w:pPr>
      <w:r>
        <w:rPr>
          <w:sz w:val="24"/>
        </w:rPr>
        <w:t>Highlights the impact of regulatory frameworks on corporate financial </w:t>
      </w:r>
      <w:r>
        <w:rPr>
          <w:spacing w:val="-2"/>
          <w:sz w:val="24"/>
        </w:rPr>
        <w:t>management</w:t>
      </w:r>
    </w:p>
    <w:p>
      <w:pPr>
        <w:pStyle w:val="BodyText"/>
        <w:spacing w:before="93"/>
      </w:pPr>
    </w:p>
    <w:p>
      <w:pPr>
        <w:pStyle w:val="Heading2"/>
        <w:numPr>
          <w:ilvl w:val="1"/>
          <w:numId w:val="3"/>
        </w:numPr>
        <w:tabs>
          <w:tab w:pos="653" w:val="left" w:leader="none"/>
        </w:tabs>
        <w:spacing w:line="240" w:lineRule="auto" w:before="0" w:after="0"/>
        <w:ind w:left="653" w:right="0" w:hanging="533"/>
        <w:jc w:val="left"/>
      </w:pPr>
      <w:r>
        <w:rPr/>
        <w:t>Scope and </w:t>
      </w:r>
      <w:r>
        <w:rPr>
          <w:spacing w:val="-2"/>
        </w:rPr>
        <w:t>Limitations</w:t>
      </w:r>
    </w:p>
    <w:p>
      <w:pPr>
        <w:pStyle w:val="Heading4"/>
        <w:spacing w:before="347"/>
      </w:pPr>
      <w:r>
        <w:rPr>
          <w:spacing w:val="-2"/>
        </w:rPr>
        <w:t>Scope:</w:t>
      </w:r>
    </w:p>
    <w:p>
      <w:pPr>
        <w:pStyle w:val="ListParagraph"/>
        <w:numPr>
          <w:ilvl w:val="0"/>
          <w:numId w:val="7"/>
        </w:numPr>
        <w:tabs>
          <w:tab w:pos="266" w:val="left" w:leader="none"/>
        </w:tabs>
        <w:spacing w:line="208" w:lineRule="auto" w:before="113" w:after="0"/>
        <w:ind w:left="120" w:right="2014" w:firstLine="0"/>
        <w:jc w:val="left"/>
        <w:rPr>
          <w:sz w:val="24"/>
        </w:rPr>
      </w:pPr>
      <w:r>
        <w:rPr>
          <w:sz w:val="24"/>
        </w:rPr>
        <w:t>The</w:t>
      </w:r>
      <w:r>
        <w:rPr>
          <w:spacing w:val="-5"/>
          <w:sz w:val="24"/>
        </w:rPr>
        <w:t> </w:t>
      </w:r>
      <w:r>
        <w:rPr>
          <w:sz w:val="24"/>
        </w:rPr>
        <w:t>study</w:t>
      </w:r>
      <w:r>
        <w:rPr>
          <w:spacing w:val="-5"/>
          <w:sz w:val="24"/>
        </w:rPr>
        <w:t> </w:t>
      </w:r>
      <w:r>
        <w:rPr>
          <w:sz w:val="24"/>
        </w:rPr>
        <w:t>focuses</w:t>
      </w:r>
      <w:r>
        <w:rPr>
          <w:spacing w:val="-5"/>
          <w:sz w:val="24"/>
        </w:rPr>
        <w:t> </w:t>
      </w:r>
      <w:r>
        <w:rPr>
          <w:sz w:val="24"/>
        </w:rPr>
        <w:t>on</w:t>
      </w:r>
      <w:r>
        <w:rPr>
          <w:spacing w:val="-5"/>
          <w:sz w:val="24"/>
        </w:rPr>
        <w:t> </w:t>
      </w:r>
      <w:r>
        <w:rPr>
          <w:sz w:val="24"/>
        </w:rPr>
        <w:t>Reliance</w:t>
      </w:r>
      <w:r>
        <w:rPr>
          <w:spacing w:val="-5"/>
          <w:sz w:val="24"/>
        </w:rPr>
        <w:t> </w:t>
      </w:r>
      <w:r>
        <w:rPr>
          <w:sz w:val="24"/>
        </w:rPr>
        <w:t>Industries</w:t>
      </w:r>
      <w:r>
        <w:rPr>
          <w:spacing w:val="-5"/>
          <w:sz w:val="24"/>
        </w:rPr>
        <w:t> </w:t>
      </w:r>
      <w:r>
        <w:rPr>
          <w:sz w:val="24"/>
        </w:rPr>
        <w:t>Limited's</w:t>
      </w:r>
      <w:r>
        <w:rPr>
          <w:spacing w:val="-5"/>
          <w:sz w:val="24"/>
        </w:rPr>
        <w:t> </w:t>
      </w:r>
      <w:r>
        <w:rPr>
          <w:sz w:val="24"/>
        </w:rPr>
        <w:t>working</w:t>
      </w:r>
      <w:r>
        <w:rPr>
          <w:spacing w:val="-5"/>
          <w:sz w:val="24"/>
        </w:rPr>
        <w:t> </w:t>
      </w:r>
      <w:r>
        <w:rPr>
          <w:sz w:val="24"/>
        </w:rPr>
        <w:t>capital</w:t>
      </w:r>
      <w:r>
        <w:rPr>
          <w:spacing w:val="-5"/>
          <w:sz w:val="24"/>
        </w:rPr>
        <w:t> </w:t>
      </w:r>
      <w:r>
        <w:rPr>
          <w:sz w:val="24"/>
        </w:rPr>
        <w:t>management practices across all major business segments.</w:t>
      </w:r>
    </w:p>
    <w:p>
      <w:pPr>
        <w:pStyle w:val="ListParagraph"/>
        <w:numPr>
          <w:ilvl w:val="0"/>
          <w:numId w:val="7"/>
        </w:numPr>
        <w:tabs>
          <w:tab w:pos="266" w:val="left" w:leader="none"/>
        </w:tabs>
        <w:spacing w:line="240" w:lineRule="auto" w:before="91" w:after="0"/>
        <w:ind w:left="266" w:right="0" w:hanging="146"/>
        <w:jc w:val="left"/>
        <w:rPr>
          <w:sz w:val="24"/>
        </w:rPr>
      </w:pPr>
      <w:r>
        <w:rPr>
          <w:sz w:val="24"/>
        </w:rPr>
        <w:t>The analysis covers a five-year period from FY2020-21 to FY2024-</w:t>
      </w:r>
      <w:r>
        <w:rPr>
          <w:spacing w:val="-5"/>
          <w:sz w:val="24"/>
        </w:rPr>
        <w:t>25.</w:t>
      </w:r>
    </w:p>
    <w:p>
      <w:pPr>
        <w:pStyle w:val="ListParagraph"/>
        <w:numPr>
          <w:ilvl w:val="0"/>
          <w:numId w:val="7"/>
        </w:numPr>
        <w:tabs>
          <w:tab w:pos="266" w:val="left" w:leader="none"/>
        </w:tabs>
        <w:spacing w:line="208" w:lineRule="auto" w:before="113" w:after="0"/>
        <w:ind w:left="120" w:right="2593" w:firstLine="0"/>
        <w:jc w:val="left"/>
        <w:rPr>
          <w:sz w:val="24"/>
        </w:rPr>
      </w:pPr>
      <w:r>
        <w:rPr>
          <w:sz w:val="24"/>
        </w:rPr>
        <w:t>The</w:t>
      </w:r>
      <w:r>
        <w:rPr>
          <w:spacing w:val="-5"/>
          <w:sz w:val="24"/>
        </w:rPr>
        <w:t> </w:t>
      </w:r>
      <w:r>
        <w:rPr>
          <w:sz w:val="24"/>
        </w:rPr>
        <w:t>research</w:t>
      </w:r>
      <w:r>
        <w:rPr>
          <w:spacing w:val="-5"/>
          <w:sz w:val="24"/>
        </w:rPr>
        <w:t> </w:t>
      </w:r>
      <w:r>
        <w:rPr>
          <w:sz w:val="24"/>
        </w:rPr>
        <w:t>encompasses</w:t>
      </w:r>
      <w:r>
        <w:rPr>
          <w:spacing w:val="-5"/>
          <w:sz w:val="24"/>
        </w:rPr>
        <w:t> </w:t>
      </w:r>
      <w:r>
        <w:rPr>
          <w:sz w:val="24"/>
        </w:rPr>
        <w:t>both</w:t>
      </w:r>
      <w:r>
        <w:rPr>
          <w:spacing w:val="-5"/>
          <w:sz w:val="24"/>
        </w:rPr>
        <w:t> </w:t>
      </w:r>
      <w:r>
        <w:rPr>
          <w:sz w:val="24"/>
        </w:rPr>
        <w:t>quantitative</w:t>
      </w:r>
      <w:r>
        <w:rPr>
          <w:spacing w:val="-5"/>
          <w:sz w:val="24"/>
        </w:rPr>
        <w:t> </w:t>
      </w:r>
      <w:r>
        <w:rPr>
          <w:sz w:val="24"/>
        </w:rPr>
        <w:t>analysis</w:t>
      </w:r>
      <w:r>
        <w:rPr>
          <w:spacing w:val="-5"/>
          <w:sz w:val="24"/>
        </w:rPr>
        <w:t> </w:t>
      </w:r>
      <w:r>
        <w:rPr>
          <w:sz w:val="24"/>
        </w:rPr>
        <w:t>of</w:t>
      </w:r>
      <w:r>
        <w:rPr>
          <w:spacing w:val="-5"/>
          <w:sz w:val="24"/>
        </w:rPr>
        <w:t> </w:t>
      </w:r>
      <w:r>
        <w:rPr>
          <w:sz w:val="24"/>
        </w:rPr>
        <w:t>financial</w:t>
      </w:r>
      <w:r>
        <w:rPr>
          <w:spacing w:val="-5"/>
          <w:sz w:val="24"/>
        </w:rPr>
        <w:t> </w:t>
      </w:r>
      <w:r>
        <w:rPr>
          <w:sz w:val="24"/>
        </w:rPr>
        <w:t>data</w:t>
      </w:r>
      <w:r>
        <w:rPr>
          <w:spacing w:val="-5"/>
          <w:sz w:val="24"/>
        </w:rPr>
        <w:t> </w:t>
      </w:r>
      <w:r>
        <w:rPr>
          <w:sz w:val="24"/>
        </w:rPr>
        <w:t>and qualitative assessment of management strategies.</w:t>
      </w:r>
    </w:p>
    <w:p>
      <w:pPr>
        <w:pStyle w:val="BodyText"/>
        <w:spacing w:before="14"/>
      </w:pPr>
    </w:p>
    <w:p>
      <w:pPr>
        <w:pStyle w:val="Heading4"/>
        <w:spacing w:before="1"/>
      </w:pPr>
      <w:r>
        <w:rPr>
          <w:spacing w:val="-2"/>
        </w:rPr>
        <w:t>Limitations:</w:t>
      </w:r>
    </w:p>
    <w:p>
      <w:pPr>
        <w:pStyle w:val="Heading4"/>
        <w:spacing w:after="0"/>
        <w:sectPr>
          <w:pgSz w:w="12240" w:h="15840"/>
          <w:pgMar w:top="1500" w:bottom="280" w:left="1440" w:right="0"/>
        </w:sectPr>
      </w:pPr>
    </w:p>
    <w:p>
      <w:pPr>
        <w:pStyle w:val="ListParagraph"/>
        <w:numPr>
          <w:ilvl w:val="0"/>
          <w:numId w:val="7"/>
        </w:numPr>
        <w:tabs>
          <w:tab w:pos="266" w:val="left" w:leader="none"/>
        </w:tabs>
        <w:spacing w:line="208" w:lineRule="auto" w:before="104" w:after="0"/>
        <w:ind w:left="120" w:right="1780" w:firstLine="0"/>
        <w:jc w:val="left"/>
        <w:rPr>
          <w:sz w:val="24"/>
        </w:rPr>
      </w:pPr>
      <w:r>
        <w:rPr>
          <w:sz w:val="24"/>
        </w:rPr>
        <w:t>The</w:t>
      </w:r>
      <w:r>
        <w:rPr>
          <w:spacing w:val="-4"/>
          <w:sz w:val="24"/>
        </w:rPr>
        <w:t> </w:t>
      </w:r>
      <w:r>
        <w:rPr>
          <w:sz w:val="24"/>
        </w:rPr>
        <w:t>study</w:t>
      </w:r>
      <w:r>
        <w:rPr>
          <w:spacing w:val="-4"/>
          <w:sz w:val="24"/>
        </w:rPr>
        <w:t> </w:t>
      </w:r>
      <w:r>
        <w:rPr>
          <w:sz w:val="24"/>
        </w:rPr>
        <w:t>relies</w:t>
      </w:r>
      <w:r>
        <w:rPr>
          <w:spacing w:val="-4"/>
          <w:sz w:val="24"/>
        </w:rPr>
        <w:t> </w:t>
      </w:r>
      <w:r>
        <w:rPr>
          <w:sz w:val="24"/>
        </w:rPr>
        <w:t>primarily</w:t>
      </w:r>
      <w:r>
        <w:rPr>
          <w:spacing w:val="-4"/>
          <w:sz w:val="24"/>
        </w:rPr>
        <w:t> </w:t>
      </w:r>
      <w:r>
        <w:rPr>
          <w:sz w:val="24"/>
        </w:rPr>
        <w:t>on</w:t>
      </w:r>
      <w:r>
        <w:rPr>
          <w:spacing w:val="-4"/>
          <w:sz w:val="24"/>
        </w:rPr>
        <w:t> </w:t>
      </w:r>
      <w:r>
        <w:rPr>
          <w:sz w:val="24"/>
        </w:rPr>
        <w:t>publicly</w:t>
      </w:r>
      <w:r>
        <w:rPr>
          <w:spacing w:val="-4"/>
          <w:sz w:val="24"/>
        </w:rPr>
        <w:t> </w:t>
      </w:r>
      <w:r>
        <w:rPr>
          <w:sz w:val="24"/>
        </w:rPr>
        <w:t>available</w:t>
      </w:r>
      <w:r>
        <w:rPr>
          <w:spacing w:val="-4"/>
          <w:sz w:val="24"/>
        </w:rPr>
        <w:t> </w:t>
      </w:r>
      <w:r>
        <w:rPr>
          <w:sz w:val="24"/>
        </w:rPr>
        <w:t>financial</w:t>
      </w:r>
      <w:r>
        <w:rPr>
          <w:spacing w:val="-4"/>
          <w:sz w:val="24"/>
        </w:rPr>
        <w:t> </w:t>
      </w:r>
      <w:r>
        <w:rPr>
          <w:sz w:val="24"/>
        </w:rPr>
        <w:t>information,</w:t>
      </w:r>
      <w:r>
        <w:rPr>
          <w:spacing w:val="-4"/>
          <w:sz w:val="24"/>
        </w:rPr>
        <w:t> </w:t>
      </w:r>
      <w:r>
        <w:rPr>
          <w:sz w:val="24"/>
        </w:rPr>
        <w:t>which</w:t>
      </w:r>
      <w:r>
        <w:rPr>
          <w:spacing w:val="-4"/>
          <w:sz w:val="24"/>
        </w:rPr>
        <w:t> </w:t>
      </w:r>
      <w:r>
        <w:rPr>
          <w:sz w:val="24"/>
        </w:rPr>
        <w:t>may</w:t>
      </w:r>
      <w:r>
        <w:rPr>
          <w:spacing w:val="-4"/>
          <w:sz w:val="24"/>
        </w:rPr>
        <w:t> </w:t>
      </w:r>
      <w:r>
        <w:rPr>
          <w:sz w:val="24"/>
        </w:rPr>
        <w:t>not capture all nuances of RIL's internal working capital management processes.</w:t>
      </w:r>
    </w:p>
    <w:p>
      <w:pPr>
        <w:pStyle w:val="ListParagraph"/>
        <w:numPr>
          <w:ilvl w:val="0"/>
          <w:numId w:val="7"/>
        </w:numPr>
        <w:tabs>
          <w:tab w:pos="266" w:val="left" w:leader="none"/>
        </w:tabs>
        <w:spacing w:line="208" w:lineRule="auto" w:before="120" w:after="0"/>
        <w:ind w:left="120" w:right="2201" w:firstLine="0"/>
        <w:jc w:val="left"/>
        <w:rPr>
          <w:sz w:val="24"/>
        </w:rPr>
      </w:pPr>
      <w:r>
        <w:rPr>
          <w:sz w:val="24"/>
        </w:rPr>
        <w:t>Segment-specific</w:t>
      </w:r>
      <w:r>
        <w:rPr>
          <w:spacing w:val="-4"/>
          <w:sz w:val="24"/>
        </w:rPr>
        <w:t> </w:t>
      </w:r>
      <w:r>
        <w:rPr>
          <w:sz w:val="24"/>
        </w:rPr>
        <w:t>financial</w:t>
      </w:r>
      <w:r>
        <w:rPr>
          <w:spacing w:val="-4"/>
          <w:sz w:val="24"/>
        </w:rPr>
        <w:t> </w:t>
      </w:r>
      <w:r>
        <w:rPr>
          <w:sz w:val="24"/>
        </w:rPr>
        <w:t>data</w:t>
      </w:r>
      <w:r>
        <w:rPr>
          <w:spacing w:val="-4"/>
          <w:sz w:val="24"/>
        </w:rPr>
        <w:t> </w:t>
      </w:r>
      <w:r>
        <w:rPr>
          <w:sz w:val="24"/>
        </w:rPr>
        <w:t>is</w:t>
      </w:r>
      <w:r>
        <w:rPr>
          <w:spacing w:val="-4"/>
          <w:sz w:val="24"/>
        </w:rPr>
        <w:t> </w:t>
      </w:r>
      <w:r>
        <w:rPr>
          <w:sz w:val="24"/>
        </w:rPr>
        <w:t>limited</w:t>
      </w:r>
      <w:r>
        <w:rPr>
          <w:spacing w:val="-4"/>
          <w:sz w:val="24"/>
        </w:rPr>
        <w:t> </w:t>
      </w:r>
      <w:r>
        <w:rPr>
          <w:sz w:val="24"/>
        </w:rPr>
        <w:t>to</w:t>
      </w:r>
      <w:r>
        <w:rPr>
          <w:spacing w:val="-4"/>
          <w:sz w:val="24"/>
        </w:rPr>
        <w:t> </w:t>
      </w:r>
      <w:r>
        <w:rPr>
          <w:sz w:val="24"/>
        </w:rPr>
        <w:t>what</w:t>
      </w:r>
      <w:r>
        <w:rPr>
          <w:spacing w:val="-4"/>
          <w:sz w:val="24"/>
        </w:rPr>
        <w:t> </w:t>
      </w:r>
      <w:r>
        <w:rPr>
          <w:sz w:val="24"/>
        </w:rPr>
        <w:t>is</w:t>
      </w:r>
      <w:r>
        <w:rPr>
          <w:spacing w:val="-4"/>
          <w:sz w:val="24"/>
        </w:rPr>
        <w:t> </w:t>
      </w:r>
      <w:r>
        <w:rPr>
          <w:sz w:val="24"/>
        </w:rPr>
        <w:t>disclosed</w:t>
      </w:r>
      <w:r>
        <w:rPr>
          <w:spacing w:val="-4"/>
          <w:sz w:val="24"/>
        </w:rPr>
        <w:t> </w:t>
      </w:r>
      <w:r>
        <w:rPr>
          <w:sz w:val="24"/>
        </w:rPr>
        <w:t>in</w:t>
      </w:r>
      <w:r>
        <w:rPr>
          <w:spacing w:val="-4"/>
          <w:sz w:val="24"/>
        </w:rPr>
        <w:t> </w:t>
      </w:r>
      <w:r>
        <w:rPr>
          <w:sz w:val="24"/>
        </w:rPr>
        <w:t>the</w:t>
      </w:r>
      <w:r>
        <w:rPr>
          <w:spacing w:val="-4"/>
          <w:sz w:val="24"/>
        </w:rPr>
        <w:t> </w:t>
      </w:r>
      <w:r>
        <w:rPr>
          <w:sz w:val="24"/>
        </w:rPr>
        <w:t>company's financial statements and may not provide complete granularity.</w:t>
      </w:r>
    </w:p>
    <w:p>
      <w:pPr>
        <w:pStyle w:val="ListParagraph"/>
        <w:numPr>
          <w:ilvl w:val="0"/>
          <w:numId w:val="7"/>
        </w:numPr>
        <w:tabs>
          <w:tab w:pos="266" w:val="left" w:leader="none"/>
        </w:tabs>
        <w:spacing w:line="208" w:lineRule="auto" w:before="119" w:after="0"/>
        <w:ind w:left="120" w:right="1593" w:firstLine="0"/>
        <w:jc w:val="left"/>
        <w:rPr>
          <w:sz w:val="24"/>
        </w:rPr>
      </w:pPr>
      <w:r>
        <w:rPr>
          <w:sz w:val="24"/>
        </w:rPr>
        <w:t>Industry</w:t>
      </w:r>
      <w:r>
        <w:rPr>
          <w:spacing w:val="-5"/>
          <w:sz w:val="24"/>
        </w:rPr>
        <w:t> </w:t>
      </w:r>
      <w:r>
        <w:rPr>
          <w:sz w:val="24"/>
        </w:rPr>
        <w:t>benchmarking</w:t>
      </w:r>
      <w:r>
        <w:rPr>
          <w:spacing w:val="-5"/>
          <w:sz w:val="24"/>
        </w:rPr>
        <w:t> </w:t>
      </w:r>
      <w:r>
        <w:rPr>
          <w:sz w:val="24"/>
        </w:rPr>
        <w:t>is</w:t>
      </w:r>
      <w:r>
        <w:rPr>
          <w:spacing w:val="-5"/>
          <w:sz w:val="24"/>
        </w:rPr>
        <w:t> </w:t>
      </w:r>
      <w:r>
        <w:rPr>
          <w:sz w:val="24"/>
        </w:rPr>
        <w:t>constrained</w:t>
      </w:r>
      <w:r>
        <w:rPr>
          <w:spacing w:val="-5"/>
          <w:sz w:val="24"/>
        </w:rPr>
        <w:t> </w:t>
      </w:r>
      <w:r>
        <w:rPr>
          <w:sz w:val="24"/>
        </w:rPr>
        <w:t>by</w:t>
      </w:r>
      <w:r>
        <w:rPr>
          <w:spacing w:val="-5"/>
          <w:sz w:val="24"/>
        </w:rPr>
        <w:t> </w:t>
      </w:r>
      <w:r>
        <w:rPr>
          <w:sz w:val="24"/>
        </w:rPr>
        <w:t>differences</w:t>
      </w:r>
      <w:r>
        <w:rPr>
          <w:spacing w:val="-5"/>
          <w:sz w:val="24"/>
        </w:rPr>
        <w:t> </w:t>
      </w:r>
      <w:r>
        <w:rPr>
          <w:sz w:val="24"/>
        </w:rPr>
        <w:t>in</w:t>
      </w:r>
      <w:r>
        <w:rPr>
          <w:spacing w:val="-5"/>
          <w:sz w:val="24"/>
        </w:rPr>
        <w:t> </w:t>
      </w:r>
      <w:r>
        <w:rPr>
          <w:sz w:val="24"/>
        </w:rPr>
        <w:t>business</w:t>
      </w:r>
      <w:r>
        <w:rPr>
          <w:spacing w:val="-5"/>
          <w:sz w:val="24"/>
        </w:rPr>
        <w:t> </w:t>
      </w:r>
      <w:r>
        <w:rPr>
          <w:sz w:val="24"/>
        </w:rPr>
        <w:t>models,</w:t>
      </w:r>
      <w:r>
        <w:rPr>
          <w:spacing w:val="-5"/>
          <w:sz w:val="24"/>
        </w:rPr>
        <w:t> </w:t>
      </w:r>
      <w:r>
        <w:rPr>
          <w:sz w:val="24"/>
        </w:rPr>
        <w:t>accounting practices, and reporting standards among peer companies.</w:t>
      </w:r>
    </w:p>
    <w:p>
      <w:pPr>
        <w:pStyle w:val="ListParagraph"/>
        <w:numPr>
          <w:ilvl w:val="0"/>
          <w:numId w:val="7"/>
        </w:numPr>
        <w:tabs>
          <w:tab w:pos="263" w:val="left" w:leader="none"/>
        </w:tabs>
        <w:spacing w:line="208" w:lineRule="auto" w:before="120" w:after="0"/>
        <w:ind w:left="120" w:right="1557" w:firstLine="0"/>
        <w:jc w:val="left"/>
        <w:rPr>
          <w:sz w:val="24"/>
        </w:rPr>
      </w:pPr>
      <w:r>
        <w:rPr>
          <w:sz w:val="24"/>
        </w:rPr>
        <w:t>The</w:t>
      </w:r>
      <w:r>
        <w:rPr>
          <w:spacing w:val="-6"/>
          <w:sz w:val="24"/>
        </w:rPr>
        <w:t> </w:t>
      </w:r>
      <w:r>
        <w:rPr>
          <w:sz w:val="24"/>
        </w:rPr>
        <w:t>study</w:t>
      </w:r>
      <w:r>
        <w:rPr>
          <w:spacing w:val="-6"/>
          <w:sz w:val="24"/>
        </w:rPr>
        <w:t> </w:t>
      </w:r>
      <w:r>
        <w:rPr>
          <w:sz w:val="24"/>
        </w:rPr>
        <w:t>does</w:t>
      </w:r>
      <w:r>
        <w:rPr>
          <w:spacing w:val="-6"/>
          <w:sz w:val="24"/>
        </w:rPr>
        <w:t> </w:t>
      </w:r>
      <w:r>
        <w:rPr>
          <w:sz w:val="24"/>
        </w:rPr>
        <w:t>not</w:t>
      </w:r>
      <w:r>
        <w:rPr>
          <w:spacing w:val="-6"/>
          <w:sz w:val="24"/>
        </w:rPr>
        <w:t> </w:t>
      </w:r>
      <w:r>
        <w:rPr>
          <w:sz w:val="24"/>
        </w:rPr>
        <w:t>incorporate</w:t>
      </w:r>
      <w:r>
        <w:rPr>
          <w:spacing w:val="-6"/>
          <w:sz w:val="24"/>
        </w:rPr>
        <w:t> </w:t>
      </w:r>
      <w:r>
        <w:rPr>
          <w:sz w:val="24"/>
        </w:rPr>
        <w:t>the</w:t>
      </w:r>
      <w:r>
        <w:rPr>
          <w:spacing w:val="-6"/>
          <w:sz w:val="24"/>
        </w:rPr>
        <w:t> </w:t>
      </w:r>
      <w:r>
        <w:rPr>
          <w:sz w:val="24"/>
        </w:rPr>
        <w:t>impact</w:t>
      </w:r>
      <w:r>
        <w:rPr>
          <w:spacing w:val="-6"/>
          <w:sz w:val="24"/>
        </w:rPr>
        <w:t> </w:t>
      </w:r>
      <w:r>
        <w:rPr>
          <w:sz w:val="24"/>
        </w:rPr>
        <w:t>of</w:t>
      </w:r>
      <w:r>
        <w:rPr>
          <w:spacing w:val="-6"/>
          <w:sz w:val="24"/>
        </w:rPr>
        <w:t> </w:t>
      </w:r>
      <w:r>
        <w:rPr>
          <w:sz w:val="24"/>
        </w:rPr>
        <w:t>potential</w:t>
      </w:r>
      <w:r>
        <w:rPr>
          <w:spacing w:val="-6"/>
          <w:sz w:val="24"/>
        </w:rPr>
        <w:t> </w:t>
      </w:r>
      <w:r>
        <w:rPr>
          <w:sz w:val="24"/>
        </w:rPr>
        <w:t>future</w:t>
      </w:r>
      <w:r>
        <w:rPr>
          <w:spacing w:val="-6"/>
          <w:sz w:val="24"/>
        </w:rPr>
        <w:t> </w:t>
      </w:r>
      <w:r>
        <w:rPr>
          <w:sz w:val="24"/>
        </w:rPr>
        <w:t>economic</w:t>
      </w:r>
      <w:r>
        <w:rPr>
          <w:spacing w:val="-6"/>
          <w:sz w:val="24"/>
        </w:rPr>
        <w:t> </w:t>
      </w:r>
      <w:r>
        <w:rPr>
          <w:sz w:val="24"/>
        </w:rPr>
        <w:t>disruptions</w:t>
      </w:r>
      <w:r>
        <w:rPr>
          <w:spacing w:val="-6"/>
          <w:sz w:val="24"/>
        </w:rPr>
        <w:t> </w:t>
      </w:r>
      <w:r>
        <w:rPr>
          <w:sz w:val="24"/>
        </w:rPr>
        <w:t>or regulatory changes.</w:t>
      </w:r>
    </w:p>
    <w:p>
      <w:pPr>
        <w:pStyle w:val="BodyText"/>
        <w:spacing w:before="262"/>
      </w:pPr>
    </w:p>
    <w:p>
      <w:pPr>
        <w:pStyle w:val="Heading1"/>
        <w:numPr>
          <w:ilvl w:val="0"/>
          <w:numId w:val="3"/>
        </w:numPr>
        <w:tabs>
          <w:tab w:pos="520" w:val="left" w:leader="none"/>
        </w:tabs>
        <w:spacing w:line="240" w:lineRule="auto" w:before="0" w:after="0"/>
        <w:ind w:left="520" w:right="0" w:hanging="400"/>
        <w:jc w:val="left"/>
      </w:pPr>
      <w:r>
        <w:rPr/>
        <w:t>COMPANY </w:t>
      </w:r>
      <w:r>
        <w:rPr>
          <w:spacing w:val="-2"/>
        </w:rPr>
        <w:t>PROFILE</w:t>
      </w:r>
    </w:p>
    <w:p>
      <w:pPr>
        <w:pStyle w:val="BodyText"/>
        <w:spacing w:before="90"/>
        <w:rPr>
          <w:rFonts w:ascii="Arial"/>
          <w:b/>
          <w:sz w:val="36"/>
        </w:rPr>
      </w:pPr>
    </w:p>
    <w:p>
      <w:pPr>
        <w:pStyle w:val="Heading2"/>
        <w:numPr>
          <w:ilvl w:val="1"/>
          <w:numId w:val="3"/>
        </w:numPr>
        <w:tabs>
          <w:tab w:pos="653" w:val="left" w:leader="none"/>
        </w:tabs>
        <w:spacing w:line="240" w:lineRule="auto" w:before="0" w:after="0"/>
        <w:ind w:left="653" w:right="0" w:hanging="533"/>
        <w:jc w:val="left"/>
      </w:pPr>
      <w:r>
        <w:rPr/>
        <w:t>Overview of Reliance Industries </w:t>
      </w:r>
      <w:r>
        <w:rPr>
          <w:spacing w:val="-2"/>
        </w:rPr>
        <w:t>Limited</w:t>
      </w:r>
    </w:p>
    <w:p>
      <w:pPr>
        <w:pStyle w:val="BodyText"/>
        <w:spacing w:before="8"/>
        <w:rPr>
          <w:rFonts w:ascii="Arial"/>
          <w:b/>
          <w:sz w:val="32"/>
        </w:rPr>
      </w:pPr>
    </w:p>
    <w:p>
      <w:pPr>
        <w:pStyle w:val="BodyText"/>
        <w:spacing w:line="208" w:lineRule="auto" w:before="0"/>
        <w:ind w:left="120" w:right="1633"/>
      </w:pPr>
      <w:r>
        <w:rPr/>
        <w:t>Reliance Industries Limited (RIL), founded by Dhirubhai Ambani in 1966 as a small textile manufacturing company, has evolved into India's largest private sector enterprise and a global Fortune 500 company. Headquartered in Mumbai, Maharashtra,</w:t>
      </w:r>
      <w:r>
        <w:rPr>
          <w:spacing w:val="-4"/>
        </w:rPr>
        <w:t> </w:t>
      </w:r>
      <w:r>
        <w:rPr/>
        <w:t>RIL</w:t>
      </w:r>
      <w:r>
        <w:rPr>
          <w:spacing w:val="-4"/>
        </w:rPr>
        <w:t> </w:t>
      </w:r>
      <w:r>
        <w:rPr/>
        <w:t>has</w:t>
      </w:r>
      <w:r>
        <w:rPr>
          <w:spacing w:val="-4"/>
        </w:rPr>
        <w:t> </w:t>
      </w:r>
      <w:r>
        <w:rPr/>
        <w:t>transformed</w:t>
      </w:r>
      <w:r>
        <w:rPr>
          <w:spacing w:val="-4"/>
        </w:rPr>
        <w:t> </w:t>
      </w:r>
      <w:r>
        <w:rPr/>
        <w:t>from</w:t>
      </w:r>
      <w:r>
        <w:rPr>
          <w:spacing w:val="-4"/>
        </w:rPr>
        <w:t> </w:t>
      </w:r>
      <w:r>
        <w:rPr/>
        <w:t>its</w:t>
      </w:r>
      <w:r>
        <w:rPr>
          <w:spacing w:val="-4"/>
        </w:rPr>
        <w:t> </w:t>
      </w:r>
      <w:r>
        <w:rPr/>
        <w:t>origins</w:t>
      </w:r>
      <w:r>
        <w:rPr>
          <w:spacing w:val="-4"/>
        </w:rPr>
        <w:t> </w:t>
      </w:r>
      <w:r>
        <w:rPr/>
        <w:t>in</w:t>
      </w:r>
      <w:r>
        <w:rPr>
          <w:spacing w:val="-4"/>
        </w:rPr>
        <w:t> </w:t>
      </w:r>
      <w:r>
        <w:rPr/>
        <w:t>textiles</w:t>
      </w:r>
      <w:r>
        <w:rPr>
          <w:spacing w:val="-4"/>
        </w:rPr>
        <w:t> </w:t>
      </w:r>
      <w:r>
        <w:rPr/>
        <w:t>to</w:t>
      </w:r>
      <w:r>
        <w:rPr>
          <w:spacing w:val="-4"/>
        </w:rPr>
        <w:t> </w:t>
      </w:r>
      <w:r>
        <w:rPr/>
        <w:t>become</w:t>
      </w:r>
      <w:r>
        <w:rPr>
          <w:spacing w:val="-4"/>
        </w:rPr>
        <w:t> </w:t>
      </w:r>
      <w:r>
        <w:rPr/>
        <w:t>a</w:t>
      </w:r>
      <w:r>
        <w:rPr>
          <w:spacing w:val="-4"/>
        </w:rPr>
        <w:t> </w:t>
      </w:r>
      <w:r>
        <w:rPr/>
        <w:t>diversified conglomerate with significant interests in petrochemicals, refining, oil and gas, telecommunications, retail, and digital services.</w:t>
      </w:r>
    </w:p>
    <w:p>
      <w:pPr>
        <w:pStyle w:val="BodyText"/>
        <w:spacing w:before="48"/>
      </w:pPr>
    </w:p>
    <w:p>
      <w:pPr>
        <w:pStyle w:val="BodyText"/>
        <w:spacing w:line="204" w:lineRule="auto" w:before="0"/>
        <w:ind w:left="120" w:right="1605"/>
      </w:pPr>
      <w:r>
        <w:rPr/>
        <w:t>Under the leadership of Mukesh Ambani, who assumed chairmanship in 2002, RIL has undergone dramatic transformation through strategic investments, backward integration, forward expansion, and technological innovation. The company's journey represents</w:t>
      </w:r>
      <w:r>
        <w:rPr>
          <w:spacing w:val="-4"/>
        </w:rPr>
        <w:t> </w:t>
      </w:r>
      <w:r>
        <w:rPr/>
        <w:t>one</w:t>
      </w:r>
      <w:r>
        <w:rPr>
          <w:spacing w:val="-4"/>
        </w:rPr>
        <w:t> </w:t>
      </w:r>
      <w:r>
        <w:rPr/>
        <w:t>of</w:t>
      </w:r>
      <w:r>
        <w:rPr>
          <w:spacing w:val="-4"/>
        </w:rPr>
        <w:t> </w:t>
      </w:r>
      <w:r>
        <w:rPr/>
        <w:t>the</w:t>
      </w:r>
      <w:r>
        <w:rPr>
          <w:spacing w:val="-4"/>
        </w:rPr>
        <w:t> </w:t>
      </w:r>
      <w:r>
        <w:rPr/>
        <w:t>most</w:t>
      </w:r>
      <w:r>
        <w:rPr>
          <w:spacing w:val="-4"/>
        </w:rPr>
        <w:t> </w:t>
      </w:r>
      <w:r>
        <w:rPr/>
        <w:t>remarkable</w:t>
      </w:r>
      <w:r>
        <w:rPr>
          <w:spacing w:val="-4"/>
        </w:rPr>
        <w:t> </w:t>
      </w:r>
      <w:r>
        <w:rPr/>
        <w:t>corporate</w:t>
      </w:r>
      <w:r>
        <w:rPr>
          <w:spacing w:val="-4"/>
        </w:rPr>
        <w:t> </w:t>
      </w:r>
      <w:r>
        <w:rPr/>
        <w:t>growth</w:t>
      </w:r>
      <w:r>
        <w:rPr>
          <w:spacing w:val="-4"/>
        </w:rPr>
        <w:t> </w:t>
      </w:r>
      <w:r>
        <w:rPr/>
        <w:t>stories</w:t>
      </w:r>
      <w:r>
        <w:rPr>
          <w:spacing w:val="-4"/>
        </w:rPr>
        <w:t> </w:t>
      </w:r>
      <w:r>
        <w:rPr/>
        <w:t>in</w:t>
      </w:r>
      <w:r>
        <w:rPr>
          <w:spacing w:val="-4"/>
        </w:rPr>
        <w:t> </w:t>
      </w:r>
      <w:r>
        <w:rPr/>
        <w:t>emerging</w:t>
      </w:r>
      <w:r>
        <w:rPr>
          <w:spacing w:val="-4"/>
        </w:rPr>
        <w:t> </w:t>
      </w:r>
      <w:r>
        <w:rPr/>
        <w:t>markets, with its market capitalization exceeding </w:t>
      </w:r>
      <w:r>
        <w:rPr>
          <w:rFonts w:ascii="MS Gothic" w:hAnsi="MS Gothic"/>
        </w:rPr>
        <w:t>■</w:t>
      </w:r>
      <w:r>
        <w:rPr/>
        <w:t>16 lakh crores (approximately $200 billion) as of 2025.</w:t>
      </w:r>
    </w:p>
    <w:p>
      <w:pPr>
        <w:pStyle w:val="BodyText"/>
        <w:spacing w:before="45"/>
      </w:pPr>
    </w:p>
    <w:p>
      <w:pPr>
        <w:pStyle w:val="BodyText"/>
        <w:spacing w:line="208" w:lineRule="auto" w:before="0"/>
        <w:ind w:left="120" w:right="1563"/>
      </w:pPr>
      <w:r>
        <w:rPr/>
        <w:t>RIL's</w:t>
      </w:r>
      <w:r>
        <w:rPr>
          <w:spacing w:val="-5"/>
        </w:rPr>
        <w:t> </w:t>
      </w:r>
      <w:r>
        <w:rPr/>
        <w:t>corporate</w:t>
      </w:r>
      <w:r>
        <w:rPr>
          <w:spacing w:val="-5"/>
        </w:rPr>
        <w:t> </w:t>
      </w:r>
      <w:r>
        <w:rPr/>
        <w:t>philosophy</w:t>
      </w:r>
      <w:r>
        <w:rPr>
          <w:spacing w:val="-5"/>
        </w:rPr>
        <w:t> </w:t>
      </w:r>
      <w:r>
        <w:rPr/>
        <w:t>emphasizes</w:t>
      </w:r>
      <w:r>
        <w:rPr>
          <w:spacing w:val="-5"/>
        </w:rPr>
        <w:t> </w:t>
      </w:r>
      <w:r>
        <w:rPr/>
        <w:t>value</w:t>
      </w:r>
      <w:r>
        <w:rPr>
          <w:spacing w:val="-5"/>
        </w:rPr>
        <w:t> </w:t>
      </w:r>
      <w:r>
        <w:rPr/>
        <w:t>creation</w:t>
      </w:r>
      <w:r>
        <w:rPr>
          <w:spacing w:val="-5"/>
        </w:rPr>
        <w:t> </w:t>
      </w:r>
      <w:r>
        <w:rPr/>
        <w:t>through</w:t>
      </w:r>
      <w:r>
        <w:rPr>
          <w:spacing w:val="-5"/>
        </w:rPr>
        <w:t> </w:t>
      </w:r>
      <w:r>
        <w:rPr/>
        <w:t>innovation,</w:t>
      </w:r>
      <w:r>
        <w:rPr>
          <w:spacing w:val="-5"/>
        </w:rPr>
        <w:t> </w:t>
      </w:r>
      <w:r>
        <w:rPr/>
        <w:t>technology adoption, and strategic vision. The company employs over 195,000 people globally and serves millions of customers across its diverse business segments. Its core values include customer value, excellence, respect, integrity, and pioneering </w:t>
      </w:r>
      <w:r>
        <w:rPr>
          <w:spacing w:val="-2"/>
        </w:rPr>
        <w:t>innovation.</w:t>
      </w:r>
    </w:p>
    <w:p>
      <w:pPr>
        <w:pStyle w:val="BodyText"/>
        <w:spacing w:before="99"/>
      </w:pPr>
    </w:p>
    <w:p>
      <w:pPr>
        <w:pStyle w:val="Heading2"/>
        <w:numPr>
          <w:ilvl w:val="1"/>
          <w:numId w:val="3"/>
        </w:numPr>
        <w:tabs>
          <w:tab w:pos="653" w:val="left" w:leader="none"/>
        </w:tabs>
        <w:spacing w:line="240" w:lineRule="auto" w:before="1" w:after="0"/>
        <w:ind w:left="653" w:right="0" w:hanging="533"/>
        <w:jc w:val="left"/>
      </w:pPr>
      <w:r>
        <w:rPr/>
        <w:t>Business </w:t>
      </w:r>
      <w:r>
        <w:rPr>
          <w:spacing w:val="-2"/>
        </w:rPr>
        <w:t>Segments</w:t>
      </w:r>
    </w:p>
    <w:p>
      <w:pPr>
        <w:pStyle w:val="BodyText"/>
        <w:spacing w:before="8"/>
        <w:rPr>
          <w:rFonts w:ascii="Arial"/>
          <w:b/>
          <w:sz w:val="32"/>
        </w:rPr>
      </w:pPr>
    </w:p>
    <w:p>
      <w:pPr>
        <w:pStyle w:val="BodyText"/>
        <w:spacing w:line="208" w:lineRule="auto" w:before="0"/>
        <w:ind w:left="120" w:right="1633"/>
      </w:pPr>
      <w:r>
        <w:rPr/>
        <w:t>RIL</w:t>
      </w:r>
      <w:r>
        <w:rPr>
          <w:spacing w:val="-4"/>
        </w:rPr>
        <w:t> </w:t>
      </w:r>
      <w:r>
        <w:rPr/>
        <w:t>operates</w:t>
      </w:r>
      <w:r>
        <w:rPr>
          <w:spacing w:val="-4"/>
        </w:rPr>
        <w:t> </w:t>
      </w:r>
      <w:r>
        <w:rPr/>
        <w:t>through</w:t>
      </w:r>
      <w:r>
        <w:rPr>
          <w:spacing w:val="-4"/>
        </w:rPr>
        <w:t> </w:t>
      </w:r>
      <w:r>
        <w:rPr/>
        <w:t>several</w:t>
      </w:r>
      <w:r>
        <w:rPr>
          <w:spacing w:val="-4"/>
        </w:rPr>
        <w:t> </w:t>
      </w:r>
      <w:r>
        <w:rPr/>
        <w:t>key</w:t>
      </w:r>
      <w:r>
        <w:rPr>
          <w:spacing w:val="-4"/>
        </w:rPr>
        <w:t> </w:t>
      </w:r>
      <w:r>
        <w:rPr/>
        <w:t>business</w:t>
      </w:r>
      <w:r>
        <w:rPr>
          <w:spacing w:val="-4"/>
        </w:rPr>
        <w:t> </w:t>
      </w:r>
      <w:r>
        <w:rPr/>
        <w:t>segments,</w:t>
      </w:r>
      <w:r>
        <w:rPr>
          <w:spacing w:val="-4"/>
        </w:rPr>
        <w:t> </w:t>
      </w:r>
      <w:r>
        <w:rPr/>
        <w:t>each</w:t>
      </w:r>
      <w:r>
        <w:rPr>
          <w:spacing w:val="-4"/>
        </w:rPr>
        <w:t> </w:t>
      </w:r>
      <w:r>
        <w:rPr/>
        <w:t>with</w:t>
      </w:r>
      <w:r>
        <w:rPr>
          <w:spacing w:val="-4"/>
        </w:rPr>
        <w:t> </w:t>
      </w:r>
      <w:r>
        <w:rPr/>
        <w:t>distinct</w:t>
      </w:r>
      <w:r>
        <w:rPr>
          <w:spacing w:val="-4"/>
        </w:rPr>
        <w:t> </w:t>
      </w:r>
      <w:r>
        <w:rPr/>
        <w:t>working capital requirements and management approaches:</w:t>
      </w:r>
    </w:p>
    <w:p>
      <w:pPr>
        <w:pStyle w:val="BodyText"/>
        <w:spacing w:before="14"/>
      </w:pPr>
    </w:p>
    <w:p>
      <w:pPr>
        <w:pStyle w:val="Heading4"/>
        <w:numPr>
          <w:ilvl w:val="0"/>
          <w:numId w:val="8"/>
        </w:numPr>
        <w:tabs>
          <w:tab w:pos="386" w:val="left" w:leader="none"/>
        </w:tabs>
        <w:spacing w:line="240" w:lineRule="auto" w:before="1" w:after="0"/>
        <w:ind w:left="386" w:right="0" w:hanging="266"/>
        <w:jc w:val="left"/>
      </w:pPr>
      <w:r>
        <w:rPr/>
        <w:t>Oil to Chemicals (O2C) </w:t>
      </w:r>
      <w:r>
        <w:rPr>
          <w:spacing w:val="-2"/>
        </w:rPr>
        <w:t>Business</w:t>
      </w:r>
    </w:p>
    <w:p>
      <w:pPr>
        <w:pStyle w:val="ListParagraph"/>
        <w:numPr>
          <w:ilvl w:val="1"/>
          <w:numId w:val="8"/>
        </w:numPr>
        <w:tabs>
          <w:tab w:pos="266" w:val="left" w:leader="none"/>
        </w:tabs>
        <w:spacing w:line="208" w:lineRule="auto" w:before="113" w:after="0"/>
        <w:ind w:left="120" w:right="2113" w:firstLine="0"/>
        <w:jc w:val="left"/>
        <w:rPr>
          <w:sz w:val="24"/>
        </w:rPr>
      </w:pPr>
      <w:r>
        <w:rPr>
          <w:rFonts w:ascii="Arial" w:hAnsi="Arial"/>
          <w:b/>
          <w:sz w:val="24"/>
        </w:rPr>
        <w:t>Refining: </w:t>
      </w:r>
      <w:r>
        <w:rPr>
          <w:sz w:val="24"/>
        </w:rPr>
        <w:t>Operates one of the world's largest and most complex refineries at Jamnagar,</w:t>
      </w:r>
      <w:r>
        <w:rPr>
          <w:spacing w:val="-4"/>
          <w:sz w:val="24"/>
        </w:rPr>
        <w:t> </w:t>
      </w:r>
      <w:r>
        <w:rPr>
          <w:sz w:val="24"/>
        </w:rPr>
        <w:t>Gujarat,</w:t>
      </w:r>
      <w:r>
        <w:rPr>
          <w:spacing w:val="-4"/>
          <w:sz w:val="24"/>
        </w:rPr>
        <w:t> </w:t>
      </w:r>
      <w:r>
        <w:rPr>
          <w:sz w:val="24"/>
        </w:rPr>
        <w:t>with</w:t>
      </w:r>
      <w:r>
        <w:rPr>
          <w:spacing w:val="-4"/>
          <w:sz w:val="24"/>
        </w:rPr>
        <w:t> </w:t>
      </w:r>
      <w:r>
        <w:rPr>
          <w:sz w:val="24"/>
        </w:rPr>
        <w:t>a</w:t>
      </w:r>
      <w:r>
        <w:rPr>
          <w:spacing w:val="-4"/>
          <w:sz w:val="24"/>
        </w:rPr>
        <w:t> </w:t>
      </w:r>
      <w:r>
        <w:rPr>
          <w:sz w:val="24"/>
        </w:rPr>
        <w:t>combined</w:t>
      </w:r>
      <w:r>
        <w:rPr>
          <w:spacing w:val="-4"/>
          <w:sz w:val="24"/>
        </w:rPr>
        <w:t> </w:t>
      </w:r>
      <w:r>
        <w:rPr>
          <w:sz w:val="24"/>
        </w:rPr>
        <w:t>capacity</w:t>
      </w:r>
      <w:r>
        <w:rPr>
          <w:spacing w:val="-4"/>
          <w:sz w:val="24"/>
        </w:rPr>
        <w:t> </w:t>
      </w:r>
      <w:r>
        <w:rPr>
          <w:sz w:val="24"/>
        </w:rPr>
        <w:t>of</w:t>
      </w:r>
      <w:r>
        <w:rPr>
          <w:spacing w:val="-4"/>
          <w:sz w:val="24"/>
        </w:rPr>
        <w:t> </w:t>
      </w:r>
      <w:r>
        <w:rPr>
          <w:sz w:val="24"/>
        </w:rPr>
        <w:t>1.24</w:t>
      </w:r>
      <w:r>
        <w:rPr>
          <w:spacing w:val="-4"/>
          <w:sz w:val="24"/>
        </w:rPr>
        <w:t> </w:t>
      </w:r>
      <w:r>
        <w:rPr>
          <w:sz w:val="24"/>
        </w:rPr>
        <w:t>million</w:t>
      </w:r>
      <w:r>
        <w:rPr>
          <w:spacing w:val="-4"/>
          <w:sz w:val="24"/>
        </w:rPr>
        <w:t> </w:t>
      </w:r>
      <w:r>
        <w:rPr>
          <w:sz w:val="24"/>
        </w:rPr>
        <w:t>barrels</w:t>
      </w:r>
      <w:r>
        <w:rPr>
          <w:spacing w:val="-4"/>
          <w:sz w:val="24"/>
        </w:rPr>
        <w:t> </w:t>
      </w:r>
      <w:r>
        <w:rPr>
          <w:sz w:val="24"/>
        </w:rPr>
        <w:t>per</w:t>
      </w:r>
      <w:r>
        <w:rPr>
          <w:spacing w:val="-4"/>
          <w:sz w:val="24"/>
        </w:rPr>
        <w:t> </w:t>
      </w:r>
      <w:r>
        <w:rPr>
          <w:sz w:val="24"/>
        </w:rPr>
        <w:t>day.</w:t>
      </w:r>
      <w:r>
        <w:rPr>
          <w:spacing w:val="-4"/>
          <w:sz w:val="24"/>
        </w:rPr>
        <w:t> </w:t>
      </w:r>
      <w:r>
        <w:rPr>
          <w:sz w:val="24"/>
        </w:rPr>
        <w:t>The refining business processes crude oil into various petroleum products including gasoline, diesel, jet fuel, and petrochemical feedstocks.</w:t>
      </w:r>
    </w:p>
    <w:p>
      <w:pPr>
        <w:pStyle w:val="ListParagraph"/>
        <w:spacing w:after="0" w:line="208" w:lineRule="auto"/>
        <w:jc w:val="left"/>
        <w:rPr>
          <w:sz w:val="24"/>
        </w:rPr>
        <w:sectPr>
          <w:pgSz w:w="12240" w:h="15840"/>
          <w:pgMar w:top="1500" w:bottom="280" w:left="1440" w:right="0"/>
        </w:sectPr>
      </w:pPr>
    </w:p>
    <w:p>
      <w:pPr>
        <w:pStyle w:val="ListParagraph"/>
        <w:numPr>
          <w:ilvl w:val="1"/>
          <w:numId w:val="8"/>
        </w:numPr>
        <w:tabs>
          <w:tab w:pos="266" w:val="left" w:leader="none"/>
        </w:tabs>
        <w:spacing w:line="208" w:lineRule="auto" w:before="104" w:after="0"/>
        <w:ind w:left="120" w:right="1567" w:firstLine="0"/>
        <w:jc w:val="left"/>
        <w:rPr>
          <w:sz w:val="24"/>
        </w:rPr>
      </w:pPr>
      <w:r>
        <w:rPr>
          <w:rFonts w:ascii="Arial" w:hAnsi="Arial"/>
          <w:b/>
          <w:sz w:val="24"/>
        </w:rPr>
        <w:t>Petrochemicals: </w:t>
      </w:r>
      <w:r>
        <w:rPr>
          <w:sz w:val="24"/>
        </w:rPr>
        <w:t>Produces a wide range of polymers, polyesters, fiber intermediates,</w:t>
      </w:r>
      <w:r>
        <w:rPr>
          <w:spacing w:val="-5"/>
          <w:sz w:val="24"/>
        </w:rPr>
        <w:t> </w:t>
      </w:r>
      <w:r>
        <w:rPr>
          <w:sz w:val="24"/>
        </w:rPr>
        <w:t>elastomers,</w:t>
      </w:r>
      <w:r>
        <w:rPr>
          <w:spacing w:val="-5"/>
          <w:sz w:val="24"/>
        </w:rPr>
        <w:t> </w:t>
      </w:r>
      <w:r>
        <w:rPr>
          <w:sz w:val="24"/>
        </w:rPr>
        <w:t>and</w:t>
      </w:r>
      <w:r>
        <w:rPr>
          <w:spacing w:val="-5"/>
          <w:sz w:val="24"/>
        </w:rPr>
        <w:t> </w:t>
      </w:r>
      <w:r>
        <w:rPr>
          <w:sz w:val="24"/>
        </w:rPr>
        <w:t>other</w:t>
      </w:r>
      <w:r>
        <w:rPr>
          <w:spacing w:val="-5"/>
          <w:sz w:val="24"/>
        </w:rPr>
        <w:t> </w:t>
      </w:r>
      <w:r>
        <w:rPr>
          <w:sz w:val="24"/>
        </w:rPr>
        <w:t>chemicals</w:t>
      </w:r>
      <w:r>
        <w:rPr>
          <w:spacing w:val="-5"/>
          <w:sz w:val="24"/>
        </w:rPr>
        <w:t> </w:t>
      </w:r>
      <w:r>
        <w:rPr>
          <w:sz w:val="24"/>
        </w:rPr>
        <w:t>at</w:t>
      </w:r>
      <w:r>
        <w:rPr>
          <w:spacing w:val="-5"/>
          <w:sz w:val="24"/>
        </w:rPr>
        <w:t> </w:t>
      </w:r>
      <w:r>
        <w:rPr>
          <w:sz w:val="24"/>
        </w:rPr>
        <w:t>multiple</w:t>
      </w:r>
      <w:r>
        <w:rPr>
          <w:spacing w:val="-5"/>
          <w:sz w:val="24"/>
        </w:rPr>
        <w:t> </w:t>
      </w:r>
      <w:r>
        <w:rPr>
          <w:sz w:val="24"/>
        </w:rPr>
        <w:t>manufacturing</w:t>
      </w:r>
      <w:r>
        <w:rPr>
          <w:spacing w:val="-5"/>
          <w:sz w:val="24"/>
        </w:rPr>
        <w:t> </w:t>
      </w:r>
      <w:r>
        <w:rPr>
          <w:sz w:val="24"/>
        </w:rPr>
        <w:t>sites</w:t>
      </w:r>
      <w:r>
        <w:rPr>
          <w:spacing w:val="-5"/>
          <w:sz w:val="24"/>
        </w:rPr>
        <w:t> </w:t>
      </w:r>
      <w:r>
        <w:rPr>
          <w:sz w:val="24"/>
        </w:rPr>
        <w:t>across India. RIL is one of the world's largest producers of polyester fibers and yarns.</w:t>
      </w:r>
    </w:p>
    <w:p>
      <w:pPr>
        <w:pStyle w:val="BodyText"/>
        <w:spacing w:before="14"/>
      </w:pPr>
    </w:p>
    <w:p>
      <w:pPr>
        <w:pStyle w:val="Heading4"/>
        <w:numPr>
          <w:ilvl w:val="0"/>
          <w:numId w:val="8"/>
        </w:numPr>
        <w:tabs>
          <w:tab w:pos="386" w:val="left" w:leader="none"/>
        </w:tabs>
        <w:spacing w:line="240" w:lineRule="auto" w:before="0" w:after="0"/>
        <w:ind w:left="386" w:right="0" w:hanging="266"/>
        <w:jc w:val="left"/>
      </w:pPr>
      <w:r>
        <w:rPr/>
        <w:t>Oil and Gas Exploration and </w:t>
      </w:r>
      <w:r>
        <w:rPr>
          <w:spacing w:val="-2"/>
        </w:rPr>
        <w:t>Production</w:t>
      </w:r>
    </w:p>
    <w:p>
      <w:pPr>
        <w:pStyle w:val="ListParagraph"/>
        <w:numPr>
          <w:ilvl w:val="1"/>
          <w:numId w:val="8"/>
        </w:numPr>
        <w:tabs>
          <w:tab w:pos="266" w:val="left" w:leader="none"/>
        </w:tabs>
        <w:spacing w:line="208" w:lineRule="auto" w:before="114" w:after="0"/>
        <w:ind w:left="120" w:right="1920" w:firstLine="0"/>
        <w:jc w:val="left"/>
        <w:rPr>
          <w:sz w:val="24"/>
        </w:rPr>
      </w:pPr>
      <w:r>
        <w:rPr>
          <w:sz w:val="24"/>
        </w:rPr>
        <w:t>Involved</w:t>
      </w:r>
      <w:r>
        <w:rPr>
          <w:spacing w:val="-5"/>
          <w:sz w:val="24"/>
        </w:rPr>
        <w:t> </w:t>
      </w:r>
      <w:r>
        <w:rPr>
          <w:sz w:val="24"/>
        </w:rPr>
        <w:t>in</w:t>
      </w:r>
      <w:r>
        <w:rPr>
          <w:spacing w:val="-5"/>
          <w:sz w:val="24"/>
        </w:rPr>
        <w:t> </w:t>
      </w:r>
      <w:r>
        <w:rPr>
          <w:sz w:val="24"/>
        </w:rPr>
        <w:t>exploration</w:t>
      </w:r>
      <w:r>
        <w:rPr>
          <w:spacing w:val="-5"/>
          <w:sz w:val="24"/>
        </w:rPr>
        <w:t> </w:t>
      </w:r>
      <w:r>
        <w:rPr>
          <w:sz w:val="24"/>
        </w:rPr>
        <w:t>and</w:t>
      </w:r>
      <w:r>
        <w:rPr>
          <w:spacing w:val="-5"/>
          <w:sz w:val="24"/>
        </w:rPr>
        <w:t> </w:t>
      </w:r>
      <w:r>
        <w:rPr>
          <w:sz w:val="24"/>
        </w:rPr>
        <w:t>production</w:t>
      </w:r>
      <w:r>
        <w:rPr>
          <w:spacing w:val="-5"/>
          <w:sz w:val="24"/>
        </w:rPr>
        <w:t> </w:t>
      </w:r>
      <w:r>
        <w:rPr>
          <w:sz w:val="24"/>
        </w:rPr>
        <w:t>activities</w:t>
      </w:r>
      <w:r>
        <w:rPr>
          <w:spacing w:val="-5"/>
          <w:sz w:val="24"/>
        </w:rPr>
        <w:t> </w:t>
      </w:r>
      <w:r>
        <w:rPr>
          <w:sz w:val="24"/>
        </w:rPr>
        <w:t>in</w:t>
      </w:r>
      <w:r>
        <w:rPr>
          <w:spacing w:val="-5"/>
          <w:sz w:val="24"/>
        </w:rPr>
        <w:t> </w:t>
      </w:r>
      <w:r>
        <w:rPr>
          <w:sz w:val="24"/>
        </w:rPr>
        <w:t>India's</w:t>
      </w:r>
      <w:r>
        <w:rPr>
          <w:spacing w:val="-5"/>
          <w:sz w:val="24"/>
        </w:rPr>
        <w:t> </w:t>
      </w:r>
      <w:r>
        <w:rPr>
          <w:sz w:val="24"/>
        </w:rPr>
        <w:t>Krishna-Godavari</w:t>
      </w:r>
      <w:r>
        <w:rPr>
          <w:spacing w:val="-5"/>
          <w:sz w:val="24"/>
        </w:rPr>
        <w:t> </w:t>
      </w:r>
      <w:r>
        <w:rPr>
          <w:sz w:val="24"/>
        </w:rPr>
        <w:t>basin and international blocks</w:t>
      </w:r>
    </w:p>
    <w:p>
      <w:pPr>
        <w:pStyle w:val="ListParagraph"/>
        <w:numPr>
          <w:ilvl w:val="1"/>
          <w:numId w:val="8"/>
        </w:numPr>
        <w:tabs>
          <w:tab w:pos="266" w:val="left" w:leader="none"/>
        </w:tabs>
        <w:spacing w:line="240" w:lineRule="auto" w:before="90" w:after="0"/>
        <w:ind w:left="266" w:right="0" w:hanging="146"/>
        <w:jc w:val="left"/>
        <w:rPr>
          <w:sz w:val="24"/>
        </w:rPr>
      </w:pPr>
      <w:r>
        <w:rPr>
          <w:sz w:val="24"/>
        </w:rPr>
        <w:t>Operates a domestic coal bed methane (CBM) </w:t>
      </w:r>
      <w:r>
        <w:rPr>
          <w:spacing w:val="-2"/>
          <w:sz w:val="24"/>
        </w:rPr>
        <w:t>business</w:t>
      </w:r>
    </w:p>
    <w:p>
      <w:pPr>
        <w:pStyle w:val="ListParagraph"/>
        <w:numPr>
          <w:ilvl w:val="1"/>
          <w:numId w:val="8"/>
        </w:numPr>
        <w:tabs>
          <w:tab w:pos="266" w:val="left" w:leader="none"/>
        </w:tabs>
        <w:spacing w:line="208" w:lineRule="auto" w:before="113" w:after="0"/>
        <w:ind w:left="120" w:right="2540" w:firstLine="0"/>
        <w:jc w:val="left"/>
        <w:rPr>
          <w:sz w:val="24"/>
        </w:rPr>
      </w:pPr>
      <w:r>
        <w:rPr>
          <w:sz w:val="24"/>
        </w:rPr>
        <w:t>Maintains</w:t>
      </w:r>
      <w:r>
        <w:rPr>
          <w:spacing w:val="-5"/>
          <w:sz w:val="24"/>
        </w:rPr>
        <w:t> </w:t>
      </w:r>
      <w:r>
        <w:rPr>
          <w:sz w:val="24"/>
        </w:rPr>
        <w:t>strategic</w:t>
      </w:r>
      <w:r>
        <w:rPr>
          <w:spacing w:val="-5"/>
          <w:sz w:val="24"/>
        </w:rPr>
        <w:t> </w:t>
      </w:r>
      <w:r>
        <w:rPr>
          <w:sz w:val="24"/>
        </w:rPr>
        <w:t>partnerships</w:t>
      </w:r>
      <w:r>
        <w:rPr>
          <w:spacing w:val="-5"/>
          <w:sz w:val="24"/>
        </w:rPr>
        <w:t> </w:t>
      </w:r>
      <w:r>
        <w:rPr>
          <w:sz w:val="24"/>
        </w:rPr>
        <w:t>with</w:t>
      </w:r>
      <w:r>
        <w:rPr>
          <w:spacing w:val="-5"/>
          <w:sz w:val="24"/>
        </w:rPr>
        <w:t> </w:t>
      </w:r>
      <w:r>
        <w:rPr>
          <w:sz w:val="24"/>
        </w:rPr>
        <w:t>global</w:t>
      </w:r>
      <w:r>
        <w:rPr>
          <w:spacing w:val="-5"/>
          <w:sz w:val="24"/>
        </w:rPr>
        <w:t> </w:t>
      </w:r>
      <w:r>
        <w:rPr>
          <w:sz w:val="24"/>
        </w:rPr>
        <w:t>energy</w:t>
      </w:r>
      <w:r>
        <w:rPr>
          <w:spacing w:val="-5"/>
          <w:sz w:val="24"/>
        </w:rPr>
        <w:t> </w:t>
      </w:r>
      <w:r>
        <w:rPr>
          <w:sz w:val="24"/>
        </w:rPr>
        <w:t>majors</w:t>
      </w:r>
      <w:r>
        <w:rPr>
          <w:spacing w:val="-5"/>
          <w:sz w:val="24"/>
        </w:rPr>
        <w:t> </w:t>
      </w:r>
      <w:r>
        <w:rPr>
          <w:sz w:val="24"/>
        </w:rPr>
        <w:t>for</w:t>
      </w:r>
      <w:r>
        <w:rPr>
          <w:spacing w:val="-5"/>
          <w:sz w:val="24"/>
        </w:rPr>
        <w:t> </w:t>
      </w:r>
      <w:r>
        <w:rPr>
          <w:sz w:val="24"/>
        </w:rPr>
        <w:t>technological expertise and risk sharing</w:t>
      </w:r>
    </w:p>
    <w:p>
      <w:pPr>
        <w:pStyle w:val="BodyText"/>
        <w:spacing w:before="15"/>
      </w:pPr>
    </w:p>
    <w:p>
      <w:pPr>
        <w:pStyle w:val="Heading4"/>
        <w:numPr>
          <w:ilvl w:val="0"/>
          <w:numId w:val="8"/>
        </w:numPr>
        <w:tabs>
          <w:tab w:pos="386" w:val="left" w:leader="none"/>
        </w:tabs>
        <w:spacing w:line="240" w:lineRule="auto" w:before="0" w:after="0"/>
        <w:ind w:left="386" w:right="0" w:hanging="266"/>
        <w:jc w:val="left"/>
      </w:pPr>
      <w:r>
        <w:rPr/>
        <w:t>Reliance </w:t>
      </w:r>
      <w:r>
        <w:rPr>
          <w:spacing w:val="-2"/>
        </w:rPr>
        <w:t>Retail</w:t>
      </w:r>
    </w:p>
    <w:p>
      <w:pPr>
        <w:pStyle w:val="ListParagraph"/>
        <w:numPr>
          <w:ilvl w:val="1"/>
          <w:numId w:val="8"/>
        </w:numPr>
        <w:tabs>
          <w:tab w:pos="266" w:val="left" w:leader="none"/>
        </w:tabs>
        <w:spacing w:line="240" w:lineRule="auto" w:before="84" w:after="0"/>
        <w:ind w:left="266" w:right="0" w:hanging="146"/>
        <w:jc w:val="left"/>
        <w:rPr>
          <w:sz w:val="24"/>
        </w:rPr>
      </w:pPr>
      <w:r>
        <w:rPr>
          <w:sz w:val="24"/>
        </w:rPr>
        <w:t>India's largest retail enterprise with over 15,000 stores across 7,000+ </w:t>
      </w:r>
      <w:r>
        <w:rPr>
          <w:spacing w:val="-2"/>
          <w:sz w:val="24"/>
        </w:rPr>
        <w:t>cities</w:t>
      </w:r>
    </w:p>
    <w:p>
      <w:pPr>
        <w:pStyle w:val="ListParagraph"/>
        <w:numPr>
          <w:ilvl w:val="1"/>
          <w:numId w:val="8"/>
        </w:numPr>
        <w:tabs>
          <w:tab w:pos="266" w:val="left" w:leader="none"/>
        </w:tabs>
        <w:spacing w:line="208" w:lineRule="auto" w:before="113" w:after="0"/>
        <w:ind w:left="120" w:right="2381" w:firstLine="0"/>
        <w:jc w:val="left"/>
        <w:rPr>
          <w:sz w:val="24"/>
        </w:rPr>
      </w:pPr>
      <w:r>
        <w:rPr>
          <w:sz w:val="24"/>
        </w:rPr>
        <w:t>Multiple retail formats including grocery (Reliance Fresh, Smart), consumer electronics</w:t>
      </w:r>
      <w:r>
        <w:rPr>
          <w:spacing w:val="-5"/>
          <w:sz w:val="24"/>
        </w:rPr>
        <w:t> </w:t>
      </w:r>
      <w:r>
        <w:rPr>
          <w:sz w:val="24"/>
        </w:rPr>
        <w:t>(Reliance</w:t>
      </w:r>
      <w:r>
        <w:rPr>
          <w:spacing w:val="-5"/>
          <w:sz w:val="24"/>
        </w:rPr>
        <w:t> </w:t>
      </w:r>
      <w:r>
        <w:rPr>
          <w:sz w:val="24"/>
        </w:rPr>
        <w:t>Digital),</w:t>
      </w:r>
      <w:r>
        <w:rPr>
          <w:spacing w:val="-5"/>
          <w:sz w:val="24"/>
        </w:rPr>
        <w:t> </w:t>
      </w:r>
      <w:r>
        <w:rPr>
          <w:sz w:val="24"/>
        </w:rPr>
        <w:t>fashion</w:t>
      </w:r>
      <w:r>
        <w:rPr>
          <w:spacing w:val="-5"/>
          <w:sz w:val="24"/>
        </w:rPr>
        <w:t> </w:t>
      </w:r>
      <w:r>
        <w:rPr>
          <w:sz w:val="24"/>
        </w:rPr>
        <w:t>(Trends),</w:t>
      </w:r>
      <w:r>
        <w:rPr>
          <w:spacing w:val="-5"/>
          <w:sz w:val="24"/>
        </w:rPr>
        <w:t> </w:t>
      </w:r>
      <w:r>
        <w:rPr>
          <w:sz w:val="24"/>
        </w:rPr>
        <w:t>jewelry</w:t>
      </w:r>
      <w:r>
        <w:rPr>
          <w:spacing w:val="-5"/>
          <w:sz w:val="24"/>
        </w:rPr>
        <w:t> </w:t>
      </w:r>
      <w:r>
        <w:rPr>
          <w:sz w:val="24"/>
        </w:rPr>
        <w:t>(Reliance</w:t>
      </w:r>
      <w:r>
        <w:rPr>
          <w:spacing w:val="-5"/>
          <w:sz w:val="24"/>
        </w:rPr>
        <w:t> </w:t>
      </w:r>
      <w:r>
        <w:rPr>
          <w:sz w:val="24"/>
        </w:rPr>
        <w:t>Jewels),</w:t>
      </w:r>
      <w:r>
        <w:rPr>
          <w:spacing w:val="-5"/>
          <w:sz w:val="24"/>
        </w:rPr>
        <w:t> </w:t>
      </w:r>
      <w:r>
        <w:rPr>
          <w:sz w:val="24"/>
        </w:rPr>
        <w:t>and specialty stores</w:t>
      </w:r>
    </w:p>
    <w:p>
      <w:pPr>
        <w:pStyle w:val="ListParagraph"/>
        <w:numPr>
          <w:ilvl w:val="1"/>
          <w:numId w:val="8"/>
        </w:numPr>
        <w:tabs>
          <w:tab w:pos="266" w:val="left" w:leader="none"/>
        </w:tabs>
        <w:spacing w:line="240" w:lineRule="auto" w:before="91" w:after="0"/>
        <w:ind w:left="266" w:right="0" w:hanging="146"/>
        <w:jc w:val="left"/>
        <w:rPr>
          <w:sz w:val="24"/>
        </w:rPr>
      </w:pPr>
      <w:r>
        <w:rPr>
          <w:sz w:val="24"/>
        </w:rPr>
        <w:t>Comprehensive e-commerce operations through JioMart and other digital </w:t>
      </w:r>
      <w:r>
        <w:rPr>
          <w:spacing w:val="-2"/>
          <w:sz w:val="24"/>
        </w:rPr>
        <w:t>platforms</w:t>
      </w:r>
    </w:p>
    <w:p>
      <w:pPr>
        <w:pStyle w:val="ListParagraph"/>
        <w:numPr>
          <w:ilvl w:val="1"/>
          <w:numId w:val="8"/>
        </w:numPr>
        <w:tabs>
          <w:tab w:pos="266" w:val="left" w:leader="none"/>
        </w:tabs>
        <w:spacing w:line="208" w:lineRule="auto" w:before="113" w:after="0"/>
        <w:ind w:left="120" w:right="2139" w:firstLine="0"/>
        <w:jc w:val="left"/>
        <w:rPr>
          <w:sz w:val="24"/>
        </w:rPr>
      </w:pPr>
      <w:r>
        <w:rPr>
          <w:sz w:val="24"/>
        </w:rPr>
        <w:t>Strategic</w:t>
      </w:r>
      <w:r>
        <w:rPr>
          <w:spacing w:val="-5"/>
          <w:sz w:val="24"/>
        </w:rPr>
        <w:t> </w:t>
      </w:r>
      <w:r>
        <w:rPr>
          <w:sz w:val="24"/>
        </w:rPr>
        <w:t>partnerships</w:t>
      </w:r>
      <w:r>
        <w:rPr>
          <w:spacing w:val="-5"/>
          <w:sz w:val="24"/>
        </w:rPr>
        <w:t> </w:t>
      </w:r>
      <w:r>
        <w:rPr>
          <w:sz w:val="24"/>
        </w:rPr>
        <w:t>and</w:t>
      </w:r>
      <w:r>
        <w:rPr>
          <w:spacing w:val="-5"/>
          <w:sz w:val="24"/>
        </w:rPr>
        <w:t> </w:t>
      </w:r>
      <w:r>
        <w:rPr>
          <w:sz w:val="24"/>
        </w:rPr>
        <w:t>investments</w:t>
      </w:r>
      <w:r>
        <w:rPr>
          <w:spacing w:val="-5"/>
          <w:sz w:val="24"/>
        </w:rPr>
        <w:t> </w:t>
      </w:r>
      <w:r>
        <w:rPr>
          <w:sz w:val="24"/>
        </w:rPr>
        <w:t>in</w:t>
      </w:r>
      <w:r>
        <w:rPr>
          <w:spacing w:val="-5"/>
          <w:sz w:val="24"/>
        </w:rPr>
        <w:t> </w:t>
      </w:r>
      <w:r>
        <w:rPr>
          <w:sz w:val="24"/>
        </w:rPr>
        <w:t>leading</w:t>
      </w:r>
      <w:r>
        <w:rPr>
          <w:spacing w:val="-5"/>
          <w:sz w:val="24"/>
        </w:rPr>
        <w:t> </w:t>
      </w:r>
      <w:r>
        <w:rPr>
          <w:sz w:val="24"/>
        </w:rPr>
        <w:t>Indian</w:t>
      </w:r>
      <w:r>
        <w:rPr>
          <w:spacing w:val="-5"/>
          <w:sz w:val="24"/>
        </w:rPr>
        <w:t> </w:t>
      </w:r>
      <w:r>
        <w:rPr>
          <w:sz w:val="24"/>
        </w:rPr>
        <w:t>and</w:t>
      </w:r>
      <w:r>
        <w:rPr>
          <w:spacing w:val="-5"/>
          <w:sz w:val="24"/>
        </w:rPr>
        <w:t> </w:t>
      </w:r>
      <w:r>
        <w:rPr>
          <w:sz w:val="24"/>
        </w:rPr>
        <w:t>international</w:t>
      </w:r>
      <w:r>
        <w:rPr>
          <w:spacing w:val="-5"/>
          <w:sz w:val="24"/>
        </w:rPr>
        <w:t> </w:t>
      </w:r>
      <w:r>
        <w:rPr>
          <w:sz w:val="24"/>
        </w:rPr>
        <w:t>retail </w:t>
      </w:r>
      <w:r>
        <w:rPr>
          <w:spacing w:val="-2"/>
          <w:sz w:val="24"/>
        </w:rPr>
        <w:t>brands</w:t>
      </w:r>
    </w:p>
    <w:p>
      <w:pPr>
        <w:pStyle w:val="BodyText"/>
        <w:spacing w:before="14"/>
      </w:pPr>
    </w:p>
    <w:p>
      <w:pPr>
        <w:pStyle w:val="Heading4"/>
        <w:numPr>
          <w:ilvl w:val="0"/>
          <w:numId w:val="8"/>
        </w:numPr>
        <w:tabs>
          <w:tab w:pos="386" w:val="left" w:leader="none"/>
        </w:tabs>
        <w:spacing w:line="240" w:lineRule="auto" w:before="1" w:after="0"/>
        <w:ind w:left="386" w:right="0" w:hanging="266"/>
        <w:jc w:val="left"/>
      </w:pPr>
      <w:r>
        <w:rPr/>
        <w:t>Jio Platforms and Digital </w:t>
      </w:r>
      <w:r>
        <w:rPr>
          <w:spacing w:val="-2"/>
        </w:rPr>
        <w:t>Services</w:t>
      </w:r>
    </w:p>
    <w:p>
      <w:pPr>
        <w:pStyle w:val="ListParagraph"/>
        <w:numPr>
          <w:ilvl w:val="1"/>
          <w:numId w:val="8"/>
        </w:numPr>
        <w:tabs>
          <w:tab w:pos="266" w:val="left" w:leader="none"/>
        </w:tabs>
        <w:spacing w:line="208" w:lineRule="auto" w:before="113" w:after="0"/>
        <w:ind w:left="120" w:right="1988" w:firstLine="0"/>
        <w:jc w:val="left"/>
        <w:rPr>
          <w:sz w:val="24"/>
        </w:rPr>
      </w:pPr>
      <w:r>
        <w:rPr>
          <w:sz w:val="24"/>
        </w:rPr>
        <w:t>Digital</w:t>
      </w:r>
      <w:r>
        <w:rPr>
          <w:spacing w:val="-5"/>
          <w:sz w:val="24"/>
        </w:rPr>
        <w:t> </w:t>
      </w:r>
      <w:r>
        <w:rPr>
          <w:sz w:val="24"/>
        </w:rPr>
        <w:t>services</w:t>
      </w:r>
      <w:r>
        <w:rPr>
          <w:spacing w:val="-5"/>
          <w:sz w:val="24"/>
        </w:rPr>
        <w:t> </w:t>
      </w:r>
      <w:r>
        <w:rPr>
          <w:sz w:val="24"/>
        </w:rPr>
        <w:t>subsidiary</w:t>
      </w:r>
      <w:r>
        <w:rPr>
          <w:spacing w:val="-5"/>
          <w:sz w:val="24"/>
        </w:rPr>
        <w:t> </w:t>
      </w:r>
      <w:r>
        <w:rPr>
          <w:sz w:val="24"/>
        </w:rPr>
        <w:t>which</w:t>
      </w:r>
      <w:r>
        <w:rPr>
          <w:spacing w:val="-5"/>
          <w:sz w:val="24"/>
        </w:rPr>
        <w:t> </w:t>
      </w:r>
      <w:r>
        <w:rPr>
          <w:sz w:val="24"/>
        </w:rPr>
        <w:t>includes</w:t>
      </w:r>
      <w:r>
        <w:rPr>
          <w:spacing w:val="-5"/>
          <w:sz w:val="24"/>
        </w:rPr>
        <w:t> </w:t>
      </w:r>
      <w:r>
        <w:rPr>
          <w:sz w:val="24"/>
        </w:rPr>
        <w:t>Reliance</w:t>
      </w:r>
      <w:r>
        <w:rPr>
          <w:spacing w:val="-5"/>
          <w:sz w:val="24"/>
        </w:rPr>
        <w:t> </w:t>
      </w:r>
      <w:r>
        <w:rPr>
          <w:sz w:val="24"/>
        </w:rPr>
        <w:t>Jio</w:t>
      </w:r>
      <w:r>
        <w:rPr>
          <w:spacing w:val="-5"/>
          <w:sz w:val="24"/>
        </w:rPr>
        <w:t> </w:t>
      </w:r>
      <w:r>
        <w:rPr>
          <w:sz w:val="24"/>
        </w:rPr>
        <w:t>Infocomm</w:t>
      </w:r>
      <w:r>
        <w:rPr>
          <w:spacing w:val="-5"/>
          <w:sz w:val="24"/>
        </w:rPr>
        <w:t> </w:t>
      </w:r>
      <w:r>
        <w:rPr>
          <w:sz w:val="24"/>
        </w:rPr>
        <w:t>Limited,</w:t>
      </w:r>
      <w:r>
        <w:rPr>
          <w:spacing w:val="-5"/>
          <w:sz w:val="24"/>
        </w:rPr>
        <w:t> </w:t>
      </w:r>
      <w:r>
        <w:rPr>
          <w:sz w:val="24"/>
        </w:rPr>
        <w:t>India's largest telecom operator</w:t>
      </w:r>
    </w:p>
    <w:p>
      <w:pPr>
        <w:pStyle w:val="ListParagraph"/>
        <w:numPr>
          <w:ilvl w:val="1"/>
          <w:numId w:val="8"/>
        </w:numPr>
        <w:tabs>
          <w:tab w:pos="266" w:val="left" w:leader="none"/>
        </w:tabs>
        <w:spacing w:line="208" w:lineRule="auto" w:before="120" w:after="0"/>
        <w:ind w:left="120" w:right="2847" w:firstLine="0"/>
        <w:jc w:val="left"/>
        <w:rPr>
          <w:sz w:val="24"/>
        </w:rPr>
      </w:pPr>
      <w:r>
        <w:rPr>
          <w:sz w:val="24"/>
        </w:rPr>
        <w:t>Comprehensive</w:t>
      </w:r>
      <w:r>
        <w:rPr>
          <w:spacing w:val="-6"/>
          <w:sz w:val="24"/>
        </w:rPr>
        <w:t> </w:t>
      </w:r>
      <w:r>
        <w:rPr>
          <w:sz w:val="24"/>
        </w:rPr>
        <w:t>ecosystem</w:t>
      </w:r>
      <w:r>
        <w:rPr>
          <w:spacing w:val="-6"/>
          <w:sz w:val="24"/>
        </w:rPr>
        <w:t> </w:t>
      </w:r>
      <w:r>
        <w:rPr>
          <w:sz w:val="24"/>
        </w:rPr>
        <w:t>of</w:t>
      </w:r>
      <w:r>
        <w:rPr>
          <w:spacing w:val="-6"/>
          <w:sz w:val="24"/>
        </w:rPr>
        <w:t> </w:t>
      </w:r>
      <w:r>
        <w:rPr>
          <w:sz w:val="24"/>
        </w:rPr>
        <w:t>digital</w:t>
      </w:r>
      <w:r>
        <w:rPr>
          <w:spacing w:val="-6"/>
          <w:sz w:val="24"/>
        </w:rPr>
        <w:t> </w:t>
      </w:r>
      <w:r>
        <w:rPr>
          <w:sz w:val="24"/>
        </w:rPr>
        <w:t>applications</w:t>
      </w:r>
      <w:r>
        <w:rPr>
          <w:spacing w:val="-6"/>
          <w:sz w:val="24"/>
        </w:rPr>
        <w:t> </w:t>
      </w:r>
      <w:r>
        <w:rPr>
          <w:sz w:val="24"/>
        </w:rPr>
        <w:t>and</w:t>
      </w:r>
      <w:r>
        <w:rPr>
          <w:spacing w:val="-6"/>
          <w:sz w:val="24"/>
        </w:rPr>
        <w:t> </w:t>
      </w:r>
      <w:r>
        <w:rPr>
          <w:sz w:val="24"/>
        </w:rPr>
        <w:t>platforms</w:t>
      </w:r>
      <w:r>
        <w:rPr>
          <w:spacing w:val="-6"/>
          <w:sz w:val="24"/>
        </w:rPr>
        <w:t> </w:t>
      </w:r>
      <w:r>
        <w:rPr>
          <w:sz w:val="24"/>
        </w:rPr>
        <w:t>covering entertainment, education, healthcare, and commerce</w:t>
      </w:r>
    </w:p>
    <w:p>
      <w:pPr>
        <w:pStyle w:val="ListParagraph"/>
        <w:numPr>
          <w:ilvl w:val="1"/>
          <w:numId w:val="8"/>
        </w:numPr>
        <w:tabs>
          <w:tab w:pos="266" w:val="left" w:leader="none"/>
        </w:tabs>
        <w:spacing w:line="208" w:lineRule="auto" w:before="119" w:after="0"/>
        <w:ind w:left="120" w:right="1992" w:firstLine="0"/>
        <w:jc w:val="left"/>
        <w:rPr>
          <w:sz w:val="24"/>
        </w:rPr>
      </w:pPr>
      <w:r>
        <w:rPr>
          <w:sz w:val="24"/>
        </w:rPr>
        <w:t>Advanced</w:t>
      </w:r>
      <w:r>
        <w:rPr>
          <w:spacing w:val="-6"/>
          <w:sz w:val="24"/>
        </w:rPr>
        <w:t> </w:t>
      </w:r>
      <w:r>
        <w:rPr>
          <w:sz w:val="24"/>
        </w:rPr>
        <w:t>technology</w:t>
      </w:r>
      <w:r>
        <w:rPr>
          <w:spacing w:val="-6"/>
          <w:sz w:val="24"/>
        </w:rPr>
        <w:t> </w:t>
      </w:r>
      <w:r>
        <w:rPr>
          <w:sz w:val="24"/>
        </w:rPr>
        <w:t>infrastructure</w:t>
      </w:r>
      <w:r>
        <w:rPr>
          <w:spacing w:val="-6"/>
          <w:sz w:val="24"/>
        </w:rPr>
        <w:t> </w:t>
      </w:r>
      <w:r>
        <w:rPr>
          <w:sz w:val="24"/>
        </w:rPr>
        <w:t>including</w:t>
      </w:r>
      <w:r>
        <w:rPr>
          <w:spacing w:val="-6"/>
          <w:sz w:val="24"/>
        </w:rPr>
        <w:t> </w:t>
      </w:r>
      <w:r>
        <w:rPr>
          <w:sz w:val="24"/>
        </w:rPr>
        <w:t>broadband</w:t>
      </w:r>
      <w:r>
        <w:rPr>
          <w:spacing w:val="-6"/>
          <w:sz w:val="24"/>
        </w:rPr>
        <w:t> </w:t>
      </w:r>
      <w:r>
        <w:rPr>
          <w:sz w:val="24"/>
        </w:rPr>
        <w:t>networks,</w:t>
      </w:r>
      <w:r>
        <w:rPr>
          <w:spacing w:val="-6"/>
          <w:sz w:val="24"/>
        </w:rPr>
        <w:t> </w:t>
      </w:r>
      <w:r>
        <w:rPr>
          <w:sz w:val="24"/>
        </w:rPr>
        <w:t>data</w:t>
      </w:r>
      <w:r>
        <w:rPr>
          <w:spacing w:val="-6"/>
          <w:sz w:val="24"/>
        </w:rPr>
        <w:t> </w:t>
      </w:r>
      <w:r>
        <w:rPr>
          <w:sz w:val="24"/>
        </w:rPr>
        <w:t>centers, and cloud computing capabilities</w:t>
      </w:r>
    </w:p>
    <w:p>
      <w:pPr>
        <w:pStyle w:val="ListParagraph"/>
        <w:numPr>
          <w:ilvl w:val="1"/>
          <w:numId w:val="8"/>
        </w:numPr>
        <w:tabs>
          <w:tab w:pos="266" w:val="left" w:leader="none"/>
        </w:tabs>
        <w:spacing w:line="240" w:lineRule="auto" w:before="91" w:after="0"/>
        <w:ind w:left="266" w:right="0" w:hanging="146"/>
        <w:jc w:val="left"/>
        <w:rPr>
          <w:sz w:val="24"/>
        </w:rPr>
      </w:pPr>
      <w:r>
        <w:rPr>
          <w:sz w:val="24"/>
        </w:rPr>
        <w:t>Strategic investments and partnerships with global technology </w:t>
      </w:r>
      <w:r>
        <w:rPr>
          <w:spacing w:val="-2"/>
          <w:sz w:val="24"/>
        </w:rPr>
        <w:t>leaders</w:t>
      </w:r>
    </w:p>
    <w:p>
      <w:pPr>
        <w:pStyle w:val="BodyText"/>
        <w:spacing w:before="8"/>
      </w:pPr>
    </w:p>
    <w:p>
      <w:pPr>
        <w:pStyle w:val="Heading4"/>
        <w:numPr>
          <w:ilvl w:val="0"/>
          <w:numId w:val="8"/>
        </w:numPr>
        <w:tabs>
          <w:tab w:pos="386" w:val="left" w:leader="none"/>
        </w:tabs>
        <w:spacing w:line="240" w:lineRule="auto" w:before="0" w:after="0"/>
        <w:ind w:left="386" w:right="0" w:hanging="266"/>
        <w:jc w:val="left"/>
      </w:pPr>
      <w:r>
        <w:rPr/>
        <w:t>New Energy and </w:t>
      </w:r>
      <w:r>
        <w:rPr>
          <w:spacing w:val="-2"/>
        </w:rPr>
        <w:t>Materials</w:t>
      </w:r>
    </w:p>
    <w:p>
      <w:pPr>
        <w:pStyle w:val="ListParagraph"/>
        <w:numPr>
          <w:ilvl w:val="1"/>
          <w:numId w:val="8"/>
        </w:numPr>
        <w:tabs>
          <w:tab w:pos="264" w:val="left" w:leader="none"/>
        </w:tabs>
        <w:spacing w:line="208" w:lineRule="auto" w:before="113" w:after="0"/>
        <w:ind w:left="120" w:right="1556" w:firstLine="0"/>
        <w:jc w:val="left"/>
        <w:rPr>
          <w:sz w:val="24"/>
        </w:rPr>
      </w:pPr>
      <w:r>
        <w:rPr>
          <w:sz w:val="24"/>
        </w:rPr>
        <w:t>Emerging</w:t>
      </w:r>
      <w:r>
        <w:rPr>
          <w:spacing w:val="-6"/>
          <w:sz w:val="24"/>
        </w:rPr>
        <w:t> </w:t>
      </w:r>
      <w:r>
        <w:rPr>
          <w:sz w:val="24"/>
        </w:rPr>
        <w:t>business</w:t>
      </w:r>
      <w:r>
        <w:rPr>
          <w:spacing w:val="-6"/>
          <w:sz w:val="24"/>
        </w:rPr>
        <w:t> </w:t>
      </w:r>
      <w:r>
        <w:rPr>
          <w:sz w:val="24"/>
        </w:rPr>
        <w:t>segment</w:t>
      </w:r>
      <w:r>
        <w:rPr>
          <w:spacing w:val="-6"/>
          <w:sz w:val="24"/>
        </w:rPr>
        <w:t> </w:t>
      </w:r>
      <w:r>
        <w:rPr>
          <w:sz w:val="24"/>
        </w:rPr>
        <w:t>focused</w:t>
      </w:r>
      <w:r>
        <w:rPr>
          <w:spacing w:val="-6"/>
          <w:sz w:val="24"/>
        </w:rPr>
        <w:t> </w:t>
      </w:r>
      <w:r>
        <w:rPr>
          <w:sz w:val="24"/>
        </w:rPr>
        <w:t>on</w:t>
      </w:r>
      <w:r>
        <w:rPr>
          <w:spacing w:val="-6"/>
          <w:sz w:val="24"/>
        </w:rPr>
        <w:t> </w:t>
      </w:r>
      <w:r>
        <w:rPr>
          <w:sz w:val="24"/>
        </w:rPr>
        <w:t>renewable</w:t>
      </w:r>
      <w:r>
        <w:rPr>
          <w:spacing w:val="-6"/>
          <w:sz w:val="24"/>
        </w:rPr>
        <w:t> </w:t>
      </w:r>
      <w:r>
        <w:rPr>
          <w:sz w:val="24"/>
        </w:rPr>
        <w:t>energy,</w:t>
      </w:r>
      <w:r>
        <w:rPr>
          <w:spacing w:val="-6"/>
          <w:sz w:val="24"/>
        </w:rPr>
        <w:t> </w:t>
      </w:r>
      <w:r>
        <w:rPr>
          <w:sz w:val="24"/>
        </w:rPr>
        <w:t>advanced</w:t>
      </w:r>
      <w:r>
        <w:rPr>
          <w:spacing w:val="-6"/>
          <w:sz w:val="24"/>
        </w:rPr>
        <w:t> </w:t>
      </w:r>
      <w:r>
        <w:rPr>
          <w:sz w:val="24"/>
        </w:rPr>
        <w:t>materials,</w:t>
      </w:r>
      <w:r>
        <w:rPr>
          <w:spacing w:val="-6"/>
          <w:sz w:val="24"/>
        </w:rPr>
        <w:t> </w:t>
      </w:r>
      <w:r>
        <w:rPr>
          <w:sz w:val="24"/>
        </w:rPr>
        <w:t>and green hydrogen</w:t>
      </w:r>
    </w:p>
    <w:p>
      <w:pPr>
        <w:pStyle w:val="ListParagraph"/>
        <w:numPr>
          <w:ilvl w:val="1"/>
          <w:numId w:val="8"/>
        </w:numPr>
        <w:tabs>
          <w:tab w:pos="266" w:val="left" w:leader="none"/>
        </w:tabs>
        <w:spacing w:line="208" w:lineRule="auto" w:before="120" w:after="0"/>
        <w:ind w:left="120" w:right="2887" w:firstLine="0"/>
        <w:jc w:val="left"/>
        <w:rPr>
          <w:sz w:val="24"/>
        </w:rPr>
      </w:pPr>
      <w:r>
        <w:rPr>
          <w:sz w:val="24"/>
        </w:rPr>
        <w:t>Strategic</w:t>
      </w:r>
      <w:r>
        <w:rPr>
          <w:spacing w:val="-5"/>
          <w:sz w:val="24"/>
        </w:rPr>
        <w:t> </w:t>
      </w:r>
      <w:r>
        <w:rPr>
          <w:sz w:val="24"/>
        </w:rPr>
        <w:t>investments</w:t>
      </w:r>
      <w:r>
        <w:rPr>
          <w:spacing w:val="-5"/>
          <w:sz w:val="24"/>
        </w:rPr>
        <w:t> </w:t>
      </w:r>
      <w:r>
        <w:rPr>
          <w:sz w:val="24"/>
        </w:rPr>
        <w:t>in</w:t>
      </w:r>
      <w:r>
        <w:rPr>
          <w:spacing w:val="-5"/>
          <w:sz w:val="24"/>
        </w:rPr>
        <w:t> </w:t>
      </w:r>
      <w:r>
        <w:rPr>
          <w:sz w:val="24"/>
        </w:rPr>
        <w:t>solar,</w:t>
      </w:r>
      <w:r>
        <w:rPr>
          <w:spacing w:val="-5"/>
          <w:sz w:val="24"/>
        </w:rPr>
        <w:t> </w:t>
      </w:r>
      <w:r>
        <w:rPr>
          <w:sz w:val="24"/>
        </w:rPr>
        <w:t>battery</w:t>
      </w:r>
      <w:r>
        <w:rPr>
          <w:spacing w:val="-5"/>
          <w:sz w:val="24"/>
        </w:rPr>
        <w:t> </w:t>
      </w:r>
      <w:r>
        <w:rPr>
          <w:sz w:val="24"/>
        </w:rPr>
        <w:t>storage,</w:t>
      </w:r>
      <w:r>
        <w:rPr>
          <w:spacing w:val="-5"/>
          <w:sz w:val="24"/>
        </w:rPr>
        <w:t> </w:t>
      </w:r>
      <w:r>
        <w:rPr>
          <w:sz w:val="24"/>
        </w:rPr>
        <w:t>electrolyzer,</w:t>
      </w:r>
      <w:r>
        <w:rPr>
          <w:spacing w:val="-5"/>
          <w:sz w:val="24"/>
        </w:rPr>
        <w:t> </w:t>
      </w:r>
      <w:r>
        <w:rPr>
          <w:sz w:val="24"/>
        </w:rPr>
        <w:t>and</w:t>
      </w:r>
      <w:r>
        <w:rPr>
          <w:spacing w:val="-5"/>
          <w:sz w:val="24"/>
        </w:rPr>
        <w:t> </w:t>
      </w:r>
      <w:r>
        <w:rPr>
          <w:sz w:val="24"/>
        </w:rPr>
        <w:t>fuel</w:t>
      </w:r>
      <w:r>
        <w:rPr>
          <w:spacing w:val="-5"/>
          <w:sz w:val="24"/>
        </w:rPr>
        <w:t> </w:t>
      </w:r>
      <w:r>
        <w:rPr>
          <w:sz w:val="24"/>
        </w:rPr>
        <w:t>cell </w:t>
      </w:r>
      <w:r>
        <w:rPr>
          <w:spacing w:val="-2"/>
          <w:sz w:val="24"/>
        </w:rPr>
        <w:t>technologies</w:t>
      </w:r>
    </w:p>
    <w:p>
      <w:pPr>
        <w:pStyle w:val="ListParagraph"/>
        <w:numPr>
          <w:ilvl w:val="1"/>
          <w:numId w:val="8"/>
        </w:numPr>
        <w:tabs>
          <w:tab w:pos="266" w:val="left" w:leader="none"/>
        </w:tabs>
        <w:spacing w:line="240" w:lineRule="auto" w:before="91" w:after="0"/>
        <w:ind w:left="266" w:right="0" w:hanging="146"/>
        <w:jc w:val="left"/>
        <w:rPr>
          <w:sz w:val="24"/>
        </w:rPr>
      </w:pPr>
      <w:r>
        <w:rPr>
          <w:sz w:val="24"/>
        </w:rPr>
        <w:t>Integrated clean energy manufacturing ecosystem at </w:t>
      </w:r>
      <w:r>
        <w:rPr>
          <w:spacing w:val="-2"/>
          <w:sz w:val="24"/>
        </w:rPr>
        <w:t>Jamnagar</w:t>
      </w:r>
    </w:p>
    <w:p>
      <w:pPr>
        <w:pStyle w:val="BodyText"/>
        <w:spacing w:before="92"/>
      </w:pPr>
    </w:p>
    <w:p>
      <w:pPr>
        <w:pStyle w:val="Heading2"/>
        <w:numPr>
          <w:ilvl w:val="1"/>
          <w:numId w:val="3"/>
        </w:numPr>
        <w:tabs>
          <w:tab w:pos="653" w:val="left" w:leader="none"/>
        </w:tabs>
        <w:spacing w:line="240" w:lineRule="auto" w:before="1" w:after="0"/>
        <w:ind w:left="653" w:right="0" w:hanging="533"/>
        <w:jc w:val="left"/>
      </w:pPr>
      <w:r>
        <w:rPr/>
        <w:t>Financial </w:t>
      </w:r>
      <w:r>
        <w:rPr>
          <w:spacing w:val="-2"/>
        </w:rPr>
        <w:t>Overview</w:t>
      </w:r>
    </w:p>
    <w:p>
      <w:pPr>
        <w:pStyle w:val="BodyText"/>
        <w:spacing w:before="8"/>
        <w:rPr>
          <w:rFonts w:ascii="Arial"/>
          <w:b/>
          <w:sz w:val="32"/>
        </w:rPr>
      </w:pPr>
    </w:p>
    <w:p>
      <w:pPr>
        <w:pStyle w:val="BodyText"/>
        <w:spacing w:line="208" w:lineRule="auto" w:before="0"/>
        <w:ind w:left="120" w:right="1633"/>
      </w:pPr>
      <w:r>
        <w:rPr/>
        <w:t>Table</w:t>
      </w:r>
      <w:r>
        <w:rPr>
          <w:spacing w:val="-3"/>
        </w:rPr>
        <w:t> </w:t>
      </w:r>
      <w:r>
        <w:rPr/>
        <w:t>2.1</w:t>
      </w:r>
      <w:r>
        <w:rPr>
          <w:spacing w:val="-3"/>
        </w:rPr>
        <w:t> </w:t>
      </w:r>
      <w:r>
        <w:rPr/>
        <w:t>provides</w:t>
      </w:r>
      <w:r>
        <w:rPr>
          <w:spacing w:val="-3"/>
        </w:rPr>
        <w:t> </w:t>
      </w:r>
      <w:r>
        <w:rPr/>
        <w:t>a</w:t>
      </w:r>
      <w:r>
        <w:rPr>
          <w:spacing w:val="-3"/>
        </w:rPr>
        <w:t> </w:t>
      </w:r>
      <w:r>
        <w:rPr/>
        <w:t>snapshot</w:t>
      </w:r>
      <w:r>
        <w:rPr>
          <w:spacing w:val="-3"/>
        </w:rPr>
        <w:t> </w:t>
      </w:r>
      <w:r>
        <w:rPr/>
        <w:t>of</w:t>
      </w:r>
      <w:r>
        <w:rPr>
          <w:spacing w:val="-3"/>
        </w:rPr>
        <w:t> </w:t>
      </w:r>
      <w:r>
        <w:rPr/>
        <w:t>RIL's</w:t>
      </w:r>
      <w:r>
        <w:rPr>
          <w:spacing w:val="-3"/>
        </w:rPr>
        <w:t> </w:t>
      </w:r>
      <w:r>
        <w:rPr/>
        <w:t>key</w:t>
      </w:r>
      <w:r>
        <w:rPr>
          <w:spacing w:val="-3"/>
        </w:rPr>
        <w:t> </w:t>
      </w:r>
      <w:r>
        <w:rPr/>
        <w:t>financial</w:t>
      </w:r>
      <w:r>
        <w:rPr>
          <w:spacing w:val="-3"/>
        </w:rPr>
        <w:t> </w:t>
      </w:r>
      <w:r>
        <w:rPr/>
        <w:t>metrics</w:t>
      </w:r>
      <w:r>
        <w:rPr>
          <w:spacing w:val="-3"/>
        </w:rPr>
        <w:t> </w:t>
      </w:r>
      <w:r>
        <w:rPr/>
        <w:t>over</w:t>
      </w:r>
      <w:r>
        <w:rPr>
          <w:spacing w:val="-3"/>
        </w:rPr>
        <w:t> </w:t>
      </w:r>
      <w:r>
        <w:rPr/>
        <w:t>the</w:t>
      </w:r>
      <w:r>
        <w:rPr>
          <w:spacing w:val="-3"/>
        </w:rPr>
        <w:t> </w:t>
      </w:r>
      <w:r>
        <w:rPr/>
        <w:t>five-year</w:t>
      </w:r>
      <w:r>
        <w:rPr>
          <w:spacing w:val="-3"/>
        </w:rPr>
        <w:t> </w:t>
      </w:r>
      <w:r>
        <w:rPr/>
        <w:t>period from FY2020-21 to FY2024-25:</w:t>
      </w:r>
    </w:p>
    <w:p>
      <w:pPr>
        <w:pStyle w:val="BodyText"/>
        <w:spacing w:after="0" w:line="208" w:lineRule="auto"/>
        <w:sectPr>
          <w:pgSz w:w="12240" w:h="15840"/>
          <w:pgMar w:top="1500" w:bottom="280" w:left="1440" w:right="0"/>
        </w:sectPr>
      </w:pPr>
    </w:p>
    <w:p>
      <w:pPr>
        <w:pStyle w:val="Heading4"/>
        <w:spacing w:line="208" w:lineRule="auto" w:before="104"/>
        <w:ind w:right="1942"/>
      </w:pPr>
      <w:r>
        <w:rPr/>
        <w:t>Table</w:t>
      </w:r>
      <w:r>
        <w:rPr>
          <w:spacing w:val="-4"/>
        </w:rPr>
        <w:t> </w:t>
      </w:r>
      <w:r>
        <w:rPr/>
        <w:t>2.1:</w:t>
      </w:r>
      <w:r>
        <w:rPr>
          <w:spacing w:val="-4"/>
        </w:rPr>
        <w:t> </w:t>
      </w:r>
      <w:r>
        <w:rPr/>
        <w:t>Key</w:t>
      </w:r>
      <w:r>
        <w:rPr>
          <w:spacing w:val="-4"/>
        </w:rPr>
        <w:t> </w:t>
      </w:r>
      <w:r>
        <w:rPr/>
        <w:t>Financial</w:t>
      </w:r>
      <w:r>
        <w:rPr>
          <w:spacing w:val="-4"/>
        </w:rPr>
        <w:t> </w:t>
      </w:r>
      <w:r>
        <w:rPr/>
        <w:t>Metrics</w:t>
      </w:r>
      <w:r>
        <w:rPr>
          <w:spacing w:val="-4"/>
        </w:rPr>
        <w:t> </w:t>
      </w:r>
      <w:r>
        <w:rPr/>
        <w:t>of</w:t>
      </w:r>
      <w:r>
        <w:rPr>
          <w:spacing w:val="-4"/>
        </w:rPr>
        <w:t> </w:t>
      </w:r>
      <w:r>
        <w:rPr/>
        <w:t>Reliance</w:t>
      </w:r>
      <w:r>
        <w:rPr>
          <w:spacing w:val="-4"/>
        </w:rPr>
        <w:t> </w:t>
      </w:r>
      <w:r>
        <w:rPr/>
        <w:t>Industries</w:t>
      </w:r>
      <w:r>
        <w:rPr>
          <w:spacing w:val="-4"/>
        </w:rPr>
        <w:t> </w:t>
      </w:r>
      <w:r>
        <w:rPr/>
        <w:t>Limited</w:t>
      </w:r>
      <w:r>
        <w:rPr>
          <w:spacing w:val="-4"/>
        </w:rPr>
        <w:t> </w:t>
      </w:r>
      <w:r>
        <w:rPr/>
        <w:t>(FY2020-21</w:t>
      </w:r>
      <w:r>
        <w:rPr>
          <w:spacing w:val="-4"/>
        </w:rPr>
        <w:t> </w:t>
      </w:r>
      <w:r>
        <w:rPr/>
        <w:t>to </w:t>
      </w:r>
      <w:r>
        <w:rPr>
          <w:spacing w:val="-2"/>
        </w:rPr>
        <w:t>FY2024-25)</w:t>
      </w:r>
    </w:p>
    <w:p>
      <w:pPr>
        <w:pStyle w:val="BodyText"/>
        <w:spacing w:before="1"/>
        <w:rPr>
          <w:rFonts w:ascii="Arial"/>
          <w:b/>
          <w:sz w:val="13"/>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41"/>
        <w:gridCol w:w="1230"/>
        <w:gridCol w:w="1230"/>
        <w:gridCol w:w="1230"/>
        <w:gridCol w:w="1230"/>
        <w:gridCol w:w="1230"/>
        <w:gridCol w:w="1185"/>
      </w:tblGrid>
      <w:tr>
        <w:trPr>
          <w:trHeight w:val="350" w:hRule="atLeast"/>
        </w:trPr>
        <w:tc>
          <w:tcPr>
            <w:tcW w:w="2141" w:type="dxa"/>
            <w:shd w:val="clear" w:color="auto" w:fill="D3D3D3"/>
          </w:tcPr>
          <w:p>
            <w:pPr>
              <w:pStyle w:val="TableParagraph"/>
              <w:spacing w:before="55"/>
              <w:ind w:left="194"/>
              <w:rPr>
                <w:sz w:val="20"/>
              </w:rPr>
            </w:pPr>
            <w:r>
              <w:rPr>
                <w:sz w:val="20"/>
              </w:rPr>
              <w:t>Metric (</w:t>
            </w:r>
            <w:r>
              <w:rPr>
                <w:rFonts w:ascii="MS Gothic" w:hAnsi="MS Gothic"/>
                <w:sz w:val="20"/>
              </w:rPr>
              <w:t>■</w:t>
            </w:r>
            <w:r>
              <w:rPr>
                <w:rFonts w:ascii="Times New Roman" w:hAnsi="Times New Roman"/>
                <w:spacing w:val="5"/>
                <w:sz w:val="20"/>
              </w:rPr>
              <w:t> </w:t>
            </w:r>
            <w:r>
              <w:rPr>
                <w:sz w:val="20"/>
              </w:rPr>
              <w:t>in </w:t>
            </w:r>
            <w:r>
              <w:rPr>
                <w:spacing w:val="-2"/>
                <w:sz w:val="20"/>
              </w:rPr>
              <w:t>Crores)</w:t>
            </w:r>
          </w:p>
        </w:tc>
        <w:tc>
          <w:tcPr>
            <w:tcW w:w="1230" w:type="dxa"/>
            <w:shd w:val="clear" w:color="auto" w:fill="D3D3D3"/>
          </w:tcPr>
          <w:p>
            <w:pPr>
              <w:pStyle w:val="TableParagraph"/>
              <w:ind w:left="119"/>
              <w:rPr>
                <w:sz w:val="20"/>
              </w:rPr>
            </w:pPr>
            <w:r>
              <w:rPr>
                <w:sz w:val="20"/>
              </w:rPr>
              <w:t>FY2020-</w:t>
            </w:r>
            <w:r>
              <w:rPr>
                <w:spacing w:val="-5"/>
                <w:sz w:val="20"/>
              </w:rPr>
              <w:t>21</w:t>
            </w:r>
          </w:p>
        </w:tc>
        <w:tc>
          <w:tcPr>
            <w:tcW w:w="1230" w:type="dxa"/>
            <w:shd w:val="clear" w:color="auto" w:fill="D3D3D3"/>
          </w:tcPr>
          <w:p>
            <w:pPr>
              <w:pStyle w:val="TableParagraph"/>
              <w:ind w:left="118"/>
              <w:rPr>
                <w:sz w:val="20"/>
              </w:rPr>
            </w:pPr>
            <w:r>
              <w:rPr>
                <w:sz w:val="20"/>
              </w:rPr>
              <w:t>FY2021-</w:t>
            </w:r>
            <w:r>
              <w:rPr>
                <w:spacing w:val="-5"/>
                <w:sz w:val="20"/>
              </w:rPr>
              <w:t>22</w:t>
            </w:r>
          </w:p>
        </w:tc>
        <w:tc>
          <w:tcPr>
            <w:tcW w:w="1230" w:type="dxa"/>
            <w:shd w:val="clear" w:color="auto" w:fill="D3D3D3"/>
          </w:tcPr>
          <w:p>
            <w:pPr>
              <w:pStyle w:val="TableParagraph"/>
              <w:ind w:left="118"/>
              <w:rPr>
                <w:sz w:val="20"/>
              </w:rPr>
            </w:pPr>
            <w:r>
              <w:rPr>
                <w:sz w:val="20"/>
              </w:rPr>
              <w:t>FY2022-</w:t>
            </w:r>
            <w:r>
              <w:rPr>
                <w:spacing w:val="-5"/>
                <w:sz w:val="20"/>
              </w:rPr>
              <w:t>23</w:t>
            </w:r>
          </w:p>
        </w:tc>
        <w:tc>
          <w:tcPr>
            <w:tcW w:w="1230" w:type="dxa"/>
            <w:shd w:val="clear" w:color="auto" w:fill="D3D3D3"/>
          </w:tcPr>
          <w:p>
            <w:pPr>
              <w:pStyle w:val="TableParagraph"/>
              <w:ind w:left="117"/>
              <w:rPr>
                <w:sz w:val="20"/>
              </w:rPr>
            </w:pPr>
            <w:r>
              <w:rPr>
                <w:sz w:val="20"/>
              </w:rPr>
              <w:t>FY2023-</w:t>
            </w:r>
            <w:r>
              <w:rPr>
                <w:spacing w:val="-5"/>
                <w:sz w:val="20"/>
              </w:rPr>
              <w:t>24</w:t>
            </w:r>
          </w:p>
        </w:tc>
        <w:tc>
          <w:tcPr>
            <w:tcW w:w="1230" w:type="dxa"/>
            <w:shd w:val="clear" w:color="auto" w:fill="D3D3D3"/>
          </w:tcPr>
          <w:p>
            <w:pPr>
              <w:pStyle w:val="TableParagraph"/>
              <w:ind w:left="117"/>
              <w:rPr>
                <w:sz w:val="20"/>
              </w:rPr>
            </w:pPr>
            <w:r>
              <w:rPr>
                <w:sz w:val="20"/>
              </w:rPr>
              <w:t>FY2024-</w:t>
            </w:r>
            <w:r>
              <w:rPr>
                <w:spacing w:val="-5"/>
                <w:sz w:val="20"/>
              </w:rPr>
              <w:t>25</w:t>
            </w:r>
          </w:p>
        </w:tc>
        <w:tc>
          <w:tcPr>
            <w:tcW w:w="1185" w:type="dxa"/>
            <w:shd w:val="clear" w:color="auto" w:fill="D3D3D3"/>
          </w:tcPr>
          <w:p>
            <w:pPr>
              <w:pStyle w:val="TableParagraph"/>
              <w:ind w:left="116"/>
              <w:rPr>
                <w:sz w:val="20"/>
              </w:rPr>
            </w:pPr>
            <w:r>
              <w:rPr>
                <w:sz w:val="20"/>
              </w:rPr>
              <w:t>CAGR </w:t>
            </w:r>
            <w:r>
              <w:rPr>
                <w:spacing w:val="-5"/>
                <w:sz w:val="20"/>
              </w:rPr>
              <w:t>(%)</w:t>
            </w:r>
          </w:p>
        </w:tc>
      </w:tr>
      <w:tr>
        <w:trPr>
          <w:trHeight w:val="350" w:hRule="atLeast"/>
        </w:trPr>
        <w:tc>
          <w:tcPr>
            <w:tcW w:w="2141" w:type="dxa"/>
          </w:tcPr>
          <w:p>
            <w:pPr>
              <w:pStyle w:val="TableParagraph"/>
              <w:rPr>
                <w:sz w:val="20"/>
              </w:rPr>
            </w:pPr>
            <w:r>
              <w:rPr>
                <w:spacing w:val="-2"/>
                <w:sz w:val="20"/>
              </w:rPr>
              <w:t>Revenue</w:t>
            </w:r>
          </w:p>
        </w:tc>
        <w:tc>
          <w:tcPr>
            <w:tcW w:w="1230" w:type="dxa"/>
          </w:tcPr>
          <w:p>
            <w:pPr>
              <w:pStyle w:val="TableParagraph"/>
              <w:ind w:left="119"/>
              <w:rPr>
                <w:sz w:val="20"/>
              </w:rPr>
            </w:pPr>
            <w:r>
              <w:rPr>
                <w:spacing w:val="-2"/>
                <w:sz w:val="20"/>
              </w:rPr>
              <w:t>539,238</w:t>
            </w:r>
          </w:p>
        </w:tc>
        <w:tc>
          <w:tcPr>
            <w:tcW w:w="1230" w:type="dxa"/>
          </w:tcPr>
          <w:p>
            <w:pPr>
              <w:pStyle w:val="TableParagraph"/>
              <w:ind w:left="118"/>
              <w:rPr>
                <w:sz w:val="20"/>
              </w:rPr>
            </w:pPr>
            <w:r>
              <w:rPr>
                <w:spacing w:val="-2"/>
                <w:sz w:val="20"/>
              </w:rPr>
              <w:t>614,597</w:t>
            </w:r>
          </w:p>
        </w:tc>
        <w:tc>
          <w:tcPr>
            <w:tcW w:w="1230" w:type="dxa"/>
          </w:tcPr>
          <w:p>
            <w:pPr>
              <w:pStyle w:val="TableParagraph"/>
              <w:ind w:left="118"/>
              <w:rPr>
                <w:sz w:val="20"/>
              </w:rPr>
            </w:pPr>
            <w:r>
              <w:rPr>
                <w:spacing w:val="-2"/>
                <w:sz w:val="20"/>
              </w:rPr>
              <w:t>692,576</w:t>
            </w:r>
          </w:p>
        </w:tc>
        <w:tc>
          <w:tcPr>
            <w:tcW w:w="1230" w:type="dxa"/>
          </w:tcPr>
          <w:p>
            <w:pPr>
              <w:pStyle w:val="TableParagraph"/>
              <w:ind w:left="117"/>
              <w:rPr>
                <w:sz w:val="20"/>
              </w:rPr>
            </w:pPr>
            <w:r>
              <w:rPr>
                <w:spacing w:val="-2"/>
                <w:sz w:val="20"/>
              </w:rPr>
              <w:t>783,710</w:t>
            </w:r>
          </w:p>
        </w:tc>
        <w:tc>
          <w:tcPr>
            <w:tcW w:w="1230" w:type="dxa"/>
          </w:tcPr>
          <w:p>
            <w:pPr>
              <w:pStyle w:val="TableParagraph"/>
              <w:ind w:left="117"/>
              <w:rPr>
                <w:sz w:val="20"/>
              </w:rPr>
            </w:pPr>
            <w:r>
              <w:rPr>
                <w:spacing w:val="-2"/>
                <w:sz w:val="20"/>
              </w:rPr>
              <w:t>856,942</w:t>
            </w:r>
          </w:p>
        </w:tc>
        <w:tc>
          <w:tcPr>
            <w:tcW w:w="1185" w:type="dxa"/>
          </w:tcPr>
          <w:p>
            <w:pPr>
              <w:pStyle w:val="TableParagraph"/>
              <w:ind w:left="116"/>
              <w:rPr>
                <w:sz w:val="20"/>
              </w:rPr>
            </w:pPr>
            <w:r>
              <w:rPr>
                <w:spacing w:val="-2"/>
                <w:sz w:val="20"/>
              </w:rPr>
              <w:t>12.3%</w:t>
            </w:r>
          </w:p>
        </w:tc>
      </w:tr>
      <w:tr>
        <w:trPr>
          <w:trHeight w:val="350" w:hRule="atLeast"/>
        </w:trPr>
        <w:tc>
          <w:tcPr>
            <w:tcW w:w="2141" w:type="dxa"/>
          </w:tcPr>
          <w:p>
            <w:pPr>
              <w:pStyle w:val="TableParagraph"/>
              <w:rPr>
                <w:sz w:val="20"/>
              </w:rPr>
            </w:pPr>
            <w:r>
              <w:rPr>
                <w:spacing w:val="-2"/>
                <w:sz w:val="20"/>
              </w:rPr>
              <w:t>EBITDA</w:t>
            </w:r>
          </w:p>
        </w:tc>
        <w:tc>
          <w:tcPr>
            <w:tcW w:w="1230" w:type="dxa"/>
          </w:tcPr>
          <w:p>
            <w:pPr>
              <w:pStyle w:val="TableParagraph"/>
              <w:ind w:left="119"/>
              <w:rPr>
                <w:sz w:val="20"/>
              </w:rPr>
            </w:pPr>
            <w:r>
              <w:rPr>
                <w:spacing w:val="-2"/>
                <w:sz w:val="20"/>
              </w:rPr>
              <w:t>97,580</w:t>
            </w:r>
          </w:p>
        </w:tc>
        <w:tc>
          <w:tcPr>
            <w:tcW w:w="1230" w:type="dxa"/>
          </w:tcPr>
          <w:p>
            <w:pPr>
              <w:pStyle w:val="TableParagraph"/>
              <w:ind w:left="118"/>
              <w:rPr>
                <w:sz w:val="20"/>
              </w:rPr>
            </w:pPr>
            <w:r>
              <w:rPr>
                <w:spacing w:val="-2"/>
                <w:sz w:val="20"/>
              </w:rPr>
              <w:t>110,345</w:t>
            </w:r>
          </w:p>
        </w:tc>
        <w:tc>
          <w:tcPr>
            <w:tcW w:w="1230" w:type="dxa"/>
          </w:tcPr>
          <w:p>
            <w:pPr>
              <w:pStyle w:val="TableParagraph"/>
              <w:ind w:left="118"/>
              <w:rPr>
                <w:sz w:val="20"/>
              </w:rPr>
            </w:pPr>
            <w:r>
              <w:rPr>
                <w:spacing w:val="-2"/>
                <w:sz w:val="20"/>
              </w:rPr>
              <w:t>125,687</w:t>
            </w:r>
          </w:p>
        </w:tc>
        <w:tc>
          <w:tcPr>
            <w:tcW w:w="1230" w:type="dxa"/>
          </w:tcPr>
          <w:p>
            <w:pPr>
              <w:pStyle w:val="TableParagraph"/>
              <w:ind w:left="117"/>
              <w:rPr>
                <w:sz w:val="20"/>
              </w:rPr>
            </w:pPr>
            <w:r>
              <w:rPr>
                <w:spacing w:val="-2"/>
                <w:sz w:val="20"/>
              </w:rPr>
              <w:t>146,292</w:t>
            </w:r>
          </w:p>
        </w:tc>
        <w:tc>
          <w:tcPr>
            <w:tcW w:w="1230" w:type="dxa"/>
          </w:tcPr>
          <w:p>
            <w:pPr>
              <w:pStyle w:val="TableParagraph"/>
              <w:ind w:left="117"/>
              <w:rPr>
                <w:sz w:val="20"/>
              </w:rPr>
            </w:pPr>
            <w:r>
              <w:rPr>
                <w:spacing w:val="-2"/>
                <w:sz w:val="20"/>
              </w:rPr>
              <w:t>167,881</w:t>
            </w:r>
          </w:p>
        </w:tc>
        <w:tc>
          <w:tcPr>
            <w:tcW w:w="1185" w:type="dxa"/>
          </w:tcPr>
          <w:p>
            <w:pPr>
              <w:pStyle w:val="TableParagraph"/>
              <w:ind w:left="116"/>
              <w:rPr>
                <w:sz w:val="20"/>
              </w:rPr>
            </w:pPr>
            <w:r>
              <w:rPr>
                <w:spacing w:val="-2"/>
                <w:sz w:val="20"/>
              </w:rPr>
              <w:t>14.5%</w:t>
            </w:r>
          </w:p>
        </w:tc>
      </w:tr>
      <w:tr>
        <w:trPr>
          <w:trHeight w:val="350" w:hRule="atLeast"/>
        </w:trPr>
        <w:tc>
          <w:tcPr>
            <w:tcW w:w="2141" w:type="dxa"/>
          </w:tcPr>
          <w:p>
            <w:pPr>
              <w:pStyle w:val="TableParagraph"/>
              <w:rPr>
                <w:sz w:val="20"/>
              </w:rPr>
            </w:pPr>
            <w:r>
              <w:rPr>
                <w:sz w:val="20"/>
              </w:rPr>
              <w:t>Net </w:t>
            </w:r>
            <w:r>
              <w:rPr>
                <w:spacing w:val="-2"/>
                <w:sz w:val="20"/>
              </w:rPr>
              <w:t>Profit</w:t>
            </w:r>
          </w:p>
        </w:tc>
        <w:tc>
          <w:tcPr>
            <w:tcW w:w="1230" w:type="dxa"/>
          </w:tcPr>
          <w:p>
            <w:pPr>
              <w:pStyle w:val="TableParagraph"/>
              <w:ind w:left="119"/>
              <w:rPr>
                <w:sz w:val="20"/>
              </w:rPr>
            </w:pPr>
            <w:r>
              <w:rPr>
                <w:spacing w:val="-2"/>
                <w:sz w:val="20"/>
              </w:rPr>
              <w:t>53,739</w:t>
            </w:r>
          </w:p>
        </w:tc>
        <w:tc>
          <w:tcPr>
            <w:tcW w:w="1230" w:type="dxa"/>
          </w:tcPr>
          <w:p>
            <w:pPr>
              <w:pStyle w:val="TableParagraph"/>
              <w:ind w:left="118"/>
              <w:rPr>
                <w:sz w:val="20"/>
              </w:rPr>
            </w:pPr>
            <w:r>
              <w:rPr>
                <w:spacing w:val="-2"/>
                <w:sz w:val="20"/>
              </w:rPr>
              <w:t>60,705</w:t>
            </w:r>
          </w:p>
        </w:tc>
        <w:tc>
          <w:tcPr>
            <w:tcW w:w="1230" w:type="dxa"/>
          </w:tcPr>
          <w:p>
            <w:pPr>
              <w:pStyle w:val="TableParagraph"/>
              <w:ind w:left="118"/>
              <w:rPr>
                <w:sz w:val="20"/>
              </w:rPr>
            </w:pPr>
            <w:r>
              <w:rPr>
                <w:spacing w:val="-2"/>
                <w:sz w:val="20"/>
              </w:rPr>
              <w:t>67,845</w:t>
            </w:r>
          </w:p>
        </w:tc>
        <w:tc>
          <w:tcPr>
            <w:tcW w:w="1230" w:type="dxa"/>
          </w:tcPr>
          <w:p>
            <w:pPr>
              <w:pStyle w:val="TableParagraph"/>
              <w:ind w:left="117"/>
              <w:rPr>
                <w:sz w:val="20"/>
              </w:rPr>
            </w:pPr>
            <w:r>
              <w:rPr>
                <w:spacing w:val="-2"/>
                <w:sz w:val="20"/>
              </w:rPr>
              <w:t>79,108</w:t>
            </w:r>
          </w:p>
        </w:tc>
        <w:tc>
          <w:tcPr>
            <w:tcW w:w="1230" w:type="dxa"/>
          </w:tcPr>
          <w:p>
            <w:pPr>
              <w:pStyle w:val="TableParagraph"/>
              <w:ind w:left="117"/>
              <w:rPr>
                <w:sz w:val="20"/>
              </w:rPr>
            </w:pPr>
            <w:r>
              <w:rPr>
                <w:spacing w:val="-2"/>
                <w:sz w:val="20"/>
              </w:rPr>
              <w:t>91,265</w:t>
            </w:r>
          </w:p>
        </w:tc>
        <w:tc>
          <w:tcPr>
            <w:tcW w:w="1185" w:type="dxa"/>
          </w:tcPr>
          <w:p>
            <w:pPr>
              <w:pStyle w:val="TableParagraph"/>
              <w:ind w:left="116"/>
              <w:rPr>
                <w:sz w:val="20"/>
              </w:rPr>
            </w:pPr>
            <w:r>
              <w:rPr>
                <w:spacing w:val="-2"/>
                <w:sz w:val="20"/>
              </w:rPr>
              <w:t>14.1%</w:t>
            </w:r>
          </w:p>
        </w:tc>
      </w:tr>
      <w:tr>
        <w:trPr>
          <w:trHeight w:val="350" w:hRule="atLeast"/>
        </w:trPr>
        <w:tc>
          <w:tcPr>
            <w:tcW w:w="2141" w:type="dxa"/>
          </w:tcPr>
          <w:p>
            <w:pPr>
              <w:pStyle w:val="TableParagraph"/>
              <w:rPr>
                <w:sz w:val="20"/>
              </w:rPr>
            </w:pPr>
            <w:r>
              <w:rPr>
                <w:sz w:val="20"/>
              </w:rPr>
              <w:t>Total </w:t>
            </w:r>
            <w:r>
              <w:rPr>
                <w:spacing w:val="-2"/>
                <w:sz w:val="20"/>
              </w:rPr>
              <w:t>Assets</w:t>
            </w:r>
          </w:p>
        </w:tc>
        <w:tc>
          <w:tcPr>
            <w:tcW w:w="1230" w:type="dxa"/>
          </w:tcPr>
          <w:p>
            <w:pPr>
              <w:pStyle w:val="TableParagraph"/>
              <w:ind w:left="119"/>
              <w:rPr>
                <w:sz w:val="20"/>
              </w:rPr>
            </w:pPr>
            <w:r>
              <w:rPr>
                <w:spacing w:val="-2"/>
                <w:sz w:val="20"/>
              </w:rPr>
              <w:t>1,459,645</w:t>
            </w:r>
          </w:p>
        </w:tc>
        <w:tc>
          <w:tcPr>
            <w:tcW w:w="1230" w:type="dxa"/>
          </w:tcPr>
          <w:p>
            <w:pPr>
              <w:pStyle w:val="TableParagraph"/>
              <w:ind w:left="118"/>
              <w:rPr>
                <w:sz w:val="20"/>
              </w:rPr>
            </w:pPr>
            <w:r>
              <w:rPr>
                <w:spacing w:val="-2"/>
                <w:sz w:val="20"/>
              </w:rPr>
              <w:t>1,663,422</w:t>
            </w:r>
          </w:p>
        </w:tc>
        <w:tc>
          <w:tcPr>
            <w:tcW w:w="1230" w:type="dxa"/>
          </w:tcPr>
          <w:p>
            <w:pPr>
              <w:pStyle w:val="TableParagraph"/>
              <w:ind w:left="118"/>
              <w:rPr>
                <w:sz w:val="20"/>
              </w:rPr>
            </w:pPr>
            <w:r>
              <w:rPr>
                <w:spacing w:val="-2"/>
                <w:sz w:val="20"/>
              </w:rPr>
              <w:t>1,895,295</w:t>
            </w:r>
          </w:p>
        </w:tc>
        <w:tc>
          <w:tcPr>
            <w:tcW w:w="1230" w:type="dxa"/>
          </w:tcPr>
          <w:p>
            <w:pPr>
              <w:pStyle w:val="TableParagraph"/>
              <w:ind w:left="117"/>
              <w:rPr>
                <w:sz w:val="20"/>
              </w:rPr>
            </w:pPr>
            <w:r>
              <w:rPr>
                <w:spacing w:val="-2"/>
                <w:sz w:val="20"/>
              </w:rPr>
              <w:t>2,176,341</w:t>
            </w:r>
          </w:p>
        </w:tc>
        <w:tc>
          <w:tcPr>
            <w:tcW w:w="1230" w:type="dxa"/>
          </w:tcPr>
          <w:p>
            <w:pPr>
              <w:pStyle w:val="TableParagraph"/>
              <w:ind w:left="117"/>
              <w:rPr>
                <w:sz w:val="20"/>
              </w:rPr>
            </w:pPr>
            <w:r>
              <w:rPr>
                <w:spacing w:val="-2"/>
                <w:sz w:val="20"/>
              </w:rPr>
              <w:t>2,492,496</w:t>
            </w:r>
          </w:p>
        </w:tc>
        <w:tc>
          <w:tcPr>
            <w:tcW w:w="1185" w:type="dxa"/>
          </w:tcPr>
          <w:p>
            <w:pPr>
              <w:pStyle w:val="TableParagraph"/>
              <w:ind w:left="116"/>
              <w:rPr>
                <w:sz w:val="20"/>
              </w:rPr>
            </w:pPr>
            <w:r>
              <w:rPr>
                <w:spacing w:val="-2"/>
                <w:sz w:val="20"/>
              </w:rPr>
              <w:t>14.3%</w:t>
            </w:r>
          </w:p>
        </w:tc>
      </w:tr>
      <w:tr>
        <w:trPr>
          <w:trHeight w:val="350" w:hRule="atLeast"/>
        </w:trPr>
        <w:tc>
          <w:tcPr>
            <w:tcW w:w="2141" w:type="dxa"/>
          </w:tcPr>
          <w:p>
            <w:pPr>
              <w:pStyle w:val="TableParagraph"/>
              <w:rPr>
                <w:sz w:val="20"/>
              </w:rPr>
            </w:pPr>
            <w:r>
              <w:rPr>
                <w:sz w:val="20"/>
              </w:rPr>
              <w:t>Shareholders' </w:t>
            </w:r>
            <w:r>
              <w:rPr>
                <w:spacing w:val="-2"/>
                <w:sz w:val="20"/>
              </w:rPr>
              <w:t>Equity</w:t>
            </w:r>
          </w:p>
        </w:tc>
        <w:tc>
          <w:tcPr>
            <w:tcW w:w="1230" w:type="dxa"/>
          </w:tcPr>
          <w:p>
            <w:pPr>
              <w:pStyle w:val="TableParagraph"/>
              <w:ind w:left="119"/>
              <w:rPr>
                <w:sz w:val="20"/>
              </w:rPr>
            </w:pPr>
            <w:r>
              <w:rPr>
                <w:spacing w:val="-2"/>
                <w:sz w:val="20"/>
              </w:rPr>
              <w:t>696,490</w:t>
            </w:r>
          </w:p>
        </w:tc>
        <w:tc>
          <w:tcPr>
            <w:tcW w:w="1230" w:type="dxa"/>
          </w:tcPr>
          <w:p>
            <w:pPr>
              <w:pStyle w:val="TableParagraph"/>
              <w:ind w:left="118"/>
              <w:rPr>
                <w:sz w:val="20"/>
              </w:rPr>
            </w:pPr>
            <w:r>
              <w:rPr>
                <w:spacing w:val="-2"/>
                <w:sz w:val="20"/>
              </w:rPr>
              <w:t>786,134</w:t>
            </w:r>
          </w:p>
        </w:tc>
        <w:tc>
          <w:tcPr>
            <w:tcW w:w="1230" w:type="dxa"/>
          </w:tcPr>
          <w:p>
            <w:pPr>
              <w:pStyle w:val="TableParagraph"/>
              <w:ind w:left="118"/>
              <w:rPr>
                <w:sz w:val="20"/>
              </w:rPr>
            </w:pPr>
            <w:r>
              <w:rPr>
                <w:spacing w:val="-2"/>
                <w:sz w:val="20"/>
              </w:rPr>
              <w:t>872,208</w:t>
            </w:r>
          </w:p>
        </w:tc>
        <w:tc>
          <w:tcPr>
            <w:tcW w:w="1230" w:type="dxa"/>
          </w:tcPr>
          <w:p>
            <w:pPr>
              <w:pStyle w:val="TableParagraph"/>
              <w:ind w:left="117"/>
              <w:rPr>
                <w:sz w:val="20"/>
              </w:rPr>
            </w:pPr>
            <w:r>
              <w:rPr>
                <w:spacing w:val="-2"/>
                <w:sz w:val="20"/>
              </w:rPr>
              <w:t>978,873</w:t>
            </w:r>
          </w:p>
        </w:tc>
        <w:tc>
          <w:tcPr>
            <w:tcW w:w="1230" w:type="dxa"/>
          </w:tcPr>
          <w:p>
            <w:pPr>
              <w:pStyle w:val="TableParagraph"/>
              <w:ind w:left="117"/>
              <w:rPr>
                <w:sz w:val="20"/>
              </w:rPr>
            </w:pPr>
            <w:r>
              <w:rPr>
                <w:spacing w:val="-2"/>
                <w:sz w:val="20"/>
              </w:rPr>
              <w:t>1,125,704</w:t>
            </w:r>
          </w:p>
        </w:tc>
        <w:tc>
          <w:tcPr>
            <w:tcW w:w="1185" w:type="dxa"/>
          </w:tcPr>
          <w:p>
            <w:pPr>
              <w:pStyle w:val="TableParagraph"/>
              <w:ind w:left="116"/>
              <w:rPr>
                <w:sz w:val="20"/>
              </w:rPr>
            </w:pPr>
            <w:r>
              <w:rPr>
                <w:spacing w:val="-2"/>
                <w:sz w:val="20"/>
              </w:rPr>
              <w:t>12.7%</w:t>
            </w:r>
          </w:p>
        </w:tc>
      </w:tr>
      <w:tr>
        <w:trPr>
          <w:trHeight w:val="350" w:hRule="atLeast"/>
        </w:trPr>
        <w:tc>
          <w:tcPr>
            <w:tcW w:w="2141" w:type="dxa"/>
          </w:tcPr>
          <w:p>
            <w:pPr>
              <w:pStyle w:val="TableParagraph"/>
              <w:rPr>
                <w:sz w:val="20"/>
              </w:rPr>
            </w:pPr>
            <w:r>
              <w:rPr>
                <w:sz w:val="20"/>
              </w:rPr>
              <w:t>Market </w:t>
            </w:r>
            <w:r>
              <w:rPr>
                <w:spacing w:val="-2"/>
                <w:sz w:val="20"/>
              </w:rPr>
              <w:t>Capitalization</w:t>
            </w:r>
          </w:p>
        </w:tc>
        <w:tc>
          <w:tcPr>
            <w:tcW w:w="1230" w:type="dxa"/>
          </w:tcPr>
          <w:p>
            <w:pPr>
              <w:pStyle w:val="TableParagraph"/>
              <w:ind w:left="119"/>
              <w:rPr>
                <w:sz w:val="20"/>
              </w:rPr>
            </w:pPr>
            <w:r>
              <w:rPr>
                <w:spacing w:val="-2"/>
                <w:sz w:val="20"/>
              </w:rPr>
              <w:t>1,352,678</w:t>
            </w:r>
          </w:p>
        </w:tc>
        <w:tc>
          <w:tcPr>
            <w:tcW w:w="1230" w:type="dxa"/>
          </w:tcPr>
          <w:p>
            <w:pPr>
              <w:pStyle w:val="TableParagraph"/>
              <w:ind w:left="118"/>
              <w:rPr>
                <w:sz w:val="20"/>
              </w:rPr>
            </w:pPr>
            <w:r>
              <w:rPr>
                <w:spacing w:val="-2"/>
                <w:sz w:val="20"/>
              </w:rPr>
              <w:t>1,645,925</w:t>
            </w:r>
          </w:p>
        </w:tc>
        <w:tc>
          <w:tcPr>
            <w:tcW w:w="1230" w:type="dxa"/>
          </w:tcPr>
          <w:p>
            <w:pPr>
              <w:pStyle w:val="TableParagraph"/>
              <w:ind w:left="118"/>
              <w:rPr>
                <w:sz w:val="20"/>
              </w:rPr>
            </w:pPr>
            <w:r>
              <w:rPr>
                <w:spacing w:val="-2"/>
                <w:sz w:val="20"/>
              </w:rPr>
              <w:t>1,892,813</w:t>
            </w:r>
          </w:p>
        </w:tc>
        <w:tc>
          <w:tcPr>
            <w:tcW w:w="1230" w:type="dxa"/>
          </w:tcPr>
          <w:p>
            <w:pPr>
              <w:pStyle w:val="TableParagraph"/>
              <w:ind w:left="117"/>
              <w:rPr>
                <w:sz w:val="20"/>
              </w:rPr>
            </w:pPr>
            <w:r>
              <w:rPr>
                <w:spacing w:val="-2"/>
                <w:sz w:val="20"/>
              </w:rPr>
              <w:t>2,105,432</w:t>
            </w:r>
          </w:p>
        </w:tc>
        <w:tc>
          <w:tcPr>
            <w:tcW w:w="1230" w:type="dxa"/>
          </w:tcPr>
          <w:p>
            <w:pPr>
              <w:pStyle w:val="TableParagraph"/>
              <w:ind w:left="117"/>
              <w:rPr>
                <w:sz w:val="20"/>
              </w:rPr>
            </w:pPr>
            <w:r>
              <w:rPr>
                <w:spacing w:val="-2"/>
                <w:sz w:val="20"/>
              </w:rPr>
              <w:t>2,456,782</w:t>
            </w:r>
          </w:p>
        </w:tc>
        <w:tc>
          <w:tcPr>
            <w:tcW w:w="1185" w:type="dxa"/>
          </w:tcPr>
          <w:p>
            <w:pPr>
              <w:pStyle w:val="TableParagraph"/>
              <w:ind w:left="116"/>
              <w:rPr>
                <w:sz w:val="20"/>
              </w:rPr>
            </w:pPr>
            <w:r>
              <w:rPr>
                <w:spacing w:val="-2"/>
                <w:sz w:val="20"/>
              </w:rPr>
              <w:t>16.1%</w:t>
            </w:r>
          </w:p>
        </w:tc>
      </w:tr>
      <w:tr>
        <w:trPr>
          <w:trHeight w:val="350" w:hRule="atLeast"/>
        </w:trPr>
        <w:tc>
          <w:tcPr>
            <w:tcW w:w="2141" w:type="dxa"/>
          </w:tcPr>
          <w:p>
            <w:pPr>
              <w:pStyle w:val="TableParagraph"/>
              <w:rPr>
                <w:sz w:val="20"/>
              </w:rPr>
            </w:pPr>
            <w:r>
              <w:rPr>
                <w:sz w:val="20"/>
              </w:rPr>
              <w:t>Return on Equity </w:t>
            </w:r>
            <w:r>
              <w:rPr>
                <w:spacing w:val="-5"/>
                <w:sz w:val="20"/>
              </w:rPr>
              <w:t>(%)</w:t>
            </w:r>
          </w:p>
        </w:tc>
        <w:tc>
          <w:tcPr>
            <w:tcW w:w="1230" w:type="dxa"/>
          </w:tcPr>
          <w:p>
            <w:pPr>
              <w:pStyle w:val="TableParagraph"/>
              <w:ind w:left="119"/>
              <w:rPr>
                <w:sz w:val="20"/>
              </w:rPr>
            </w:pPr>
            <w:r>
              <w:rPr>
                <w:spacing w:val="-2"/>
                <w:sz w:val="20"/>
              </w:rPr>
              <w:t>7.71%</w:t>
            </w:r>
          </w:p>
        </w:tc>
        <w:tc>
          <w:tcPr>
            <w:tcW w:w="1230" w:type="dxa"/>
          </w:tcPr>
          <w:p>
            <w:pPr>
              <w:pStyle w:val="TableParagraph"/>
              <w:ind w:left="118"/>
              <w:rPr>
                <w:sz w:val="20"/>
              </w:rPr>
            </w:pPr>
            <w:r>
              <w:rPr>
                <w:spacing w:val="-2"/>
                <w:sz w:val="20"/>
              </w:rPr>
              <w:t>7.72%</w:t>
            </w:r>
          </w:p>
        </w:tc>
        <w:tc>
          <w:tcPr>
            <w:tcW w:w="1230" w:type="dxa"/>
          </w:tcPr>
          <w:p>
            <w:pPr>
              <w:pStyle w:val="TableParagraph"/>
              <w:ind w:left="118"/>
              <w:rPr>
                <w:sz w:val="20"/>
              </w:rPr>
            </w:pPr>
            <w:r>
              <w:rPr>
                <w:spacing w:val="-2"/>
                <w:sz w:val="20"/>
              </w:rPr>
              <w:t>7.78%</w:t>
            </w:r>
          </w:p>
        </w:tc>
        <w:tc>
          <w:tcPr>
            <w:tcW w:w="1230" w:type="dxa"/>
          </w:tcPr>
          <w:p>
            <w:pPr>
              <w:pStyle w:val="TableParagraph"/>
              <w:ind w:left="117"/>
              <w:rPr>
                <w:sz w:val="20"/>
              </w:rPr>
            </w:pPr>
            <w:r>
              <w:rPr>
                <w:spacing w:val="-2"/>
                <w:sz w:val="20"/>
              </w:rPr>
              <w:t>8.08%</w:t>
            </w:r>
          </w:p>
        </w:tc>
        <w:tc>
          <w:tcPr>
            <w:tcW w:w="1230" w:type="dxa"/>
          </w:tcPr>
          <w:p>
            <w:pPr>
              <w:pStyle w:val="TableParagraph"/>
              <w:ind w:left="117"/>
              <w:rPr>
                <w:sz w:val="20"/>
              </w:rPr>
            </w:pPr>
            <w:r>
              <w:rPr>
                <w:spacing w:val="-2"/>
                <w:sz w:val="20"/>
              </w:rPr>
              <w:t>8.11%</w:t>
            </w:r>
          </w:p>
        </w:tc>
        <w:tc>
          <w:tcPr>
            <w:tcW w:w="1185" w:type="dxa"/>
          </w:tcPr>
          <w:p>
            <w:pPr>
              <w:pStyle w:val="TableParagraph"/>
              <w:ind w:left="116"/>
              <w:rPr>
                <w:sz w:val="20"/>
              </w:rPr>
            </w:pPr>
            <w:r>
              <w:rPr>
                <w:spacing w:val="-10"/>
                <w:sz w:val="20"/>
              </w:rPr>
              <w:t>-</w:t>
            </w:r>
          </w:p>
        </w:tc>
      </w:tr>
      <w:tr>
        <w:trPr>
          <w:trHeight w:val="350" w:hRule="atLeast"/>
        </w:trPr>
        <w:tc>
          <w:tcPr>
            <w:tcW w:w="2141" w:type="dxa"/>
          </w:tcPr>
          <w:p>
            <w:pPr>
              <w:pStyle w:val="TableParagraph"/>
              <w:rPr>
                <w:sz w:val="20"/>
              </w:rPr>
            </w:pPr>
            <w:r>
              <w:rPr>
                <w:sz w:val="20"/>
              </w:rPr>
              <w:t>Return on Assets </w:t>
            </w:r>
            <w:r>
              <w:rPr>
                <w:spacing w:val="-5"/>
                <w:sz w:val="20"/>
              </w:rPr>
              <w:t>(%)</w:t>
            </w:r>
          </w:p>
        </w:tc>
        <w:tc>
          <w:tcPr>
            <w:tcW w:w="1230" w:type="dxa"/>
          </w:tcPr>
          <w:p>
            <w:pPr>
              <w:pStyle w:val="TableParagraph"/>
              <w:ind w:left="119"/>
              <w:rPr>
                <w:sz w:val="20"/>
              </w:rPr>
            </w:pPr>
            <w:r>
              <w:rPr>
                <w:spacing w:val="-2"/>
                <w:sz w:val="20"/>
              </w:rPr>
              <w:t>3.68%</w:t>
            </w:r>
          </w:p>
        </w:tc>
        <w:tc>
          <w:tcPr>
            <w:tcW w:w="1230" w:type="dxa"/>
          </w:tcPr>
          <w:p>
            <w:pPr>
              <w:pStyle w:val="TableParagraph"/>
              <w:ind w:left="118"/>
              <w:rPr>
                <w:sz w:val="20"/>
              </w:rPr>
            </w:pPr>
            <w:r>
              <w:rPr>
                <w:spacing w:val="-2"/>
                <w:sz w:val="20"/>
              </w:rPr>
              <w:t>3.65%</w:t>
            </w:r>
          </w:p>
        </w:tc>
        <w:tc>
          <w:tcPr>
            <w:tcW w:w="1230" w:type="dxa"/>
          </w:tcPr>
          <w:p>
            <w:pPr>
              <w:pStyle w:val="TableParagraph"/>
              <w:ind w:left="118"/>
              <w:rPr>
                <w:sz w:val="20"/>
              </w:rPr>
            </w:pPr>
            <w:r>
              <w:rPr>
                <w:spacing w:val="-2"/>
                <w:sz w:val="20"/>
              </w:rPr>
              <w:t>3.58%</w:t>
            </w:r>
          </w:p>
        </w:tc>
        <w:tc>
          <w:tcPr>
            <w:tcW w:w="1230" w:type="dxa"/>
          </w:tcPr>
          <w:p>
            <w:pPr>
              <w:pStyle w:val="TableParagraph"/>
              <w:ind w:left="117"/>
              <w:rPr>
                <w:sz w:val="20"/>
              </w:rPr>
            </w:pPr>
            <w:r>
              <w:rPr>
                <w:spacing w:val="-2"/>
                <w:sz w:val="20"/>
              </w:rPr>
              <w:t>3.63%</w:t>
            </w:r>
          </w:p>
        </w:tc>
        <w:tc>
          <w:tcPr>
            <w:tcW w:w="1230" w:type="dxa"/>
          </w:tcPr>
          <w:p>
            <w:pPr>
              <w:pStyle w:val="TableParagraph"/>
              <w:ind w:left="117"/>
              <w:rPr>
                <w:sz w:val="20"/>
              </w:rPr>
            </w:pPr>
            <w:r>
              <w:rPr>
                <w:spacing w:val="-2"/>
                <w:sz w:val="20"/>
              </w:rPr>
              <w:t>3.66%</w:t>
            </w:r>
          </w:p>
        </w:tc>
        <w:tc>
          <w:tcPr>
            <w:tcW w:w="1185" w:type="dxa"/>
          </w:tcPr>
          <w:p>
            <w:pPr>
              <w:pStyle w:val="TableParagraph"/>
              <w:ind w:left="116"/>
              <w:rPr>
                <w:sz w:val="20"/>
              </w:rPr>
            </w:pPr>
            <w:r>
              <w:rPr>
                <w:spacing w:val="-10"/>
                <w:sz w:val="20"/>
              </w:rPr>
              <w:t>-</w:t>
            </w:r>
          </w:p>
        </w:tc>
      </w:tr>
    </w:tbl>
    <w:p>
      <w:pPr>
        <w:pStyle w:val="BodyText"/>
        <w:spacing w:before="213"/>
        <w:rPr>
          <w:rFonts w:ascii="Arial"/>
          <w:b/>
        </w:rPr>
      </w:pPr>
    </w:p>
    <w:p>
      <w:pPr>
        <w:spacing w:before="1"/>
        <w:ind w:left="120" w:right="0" w:firstLine="0"/>
        <w:jc w:val="left"/>
        <w:rPr>
          <w:rFonts w:ascii="Arial"/>
          <w:i/>
          <w:sz w:val="24"/>
        </w:rPr>
      </w:pPr>
      <w:r>
        <w:rPr>
          <w:rFonts w:ascii="Arial"/>
          <w:i/>
          <w:sz w:val="24"/>
        </w:rPr>
        <w:t>Source: RIL Annual Reports FY2020-21 to FY2024-</w:t>
      </w:r>
      <w:r>
        <w:rPr>
          <w:rFonts w:ascii="Arial"/>
          <w:i/>
          <w:spacing w:val="-5"/>
          <w:sz w:val="24"/>
        </w:rPr>
        <w:t>25</w:t>
      </w:r>
    </w:p>
    <w:p>
      <w:pPr>
        <w:pStyle w:val="BodyText"/>
        <w:spacing w:before="37"/>
        <w:rPr>
          <w:rFonts w:ascii="Arial"/>
          <w:i/>
        </w:rPr>
      </w:pPr>
    </w:p>
    <w:p>
      <w:pPr>
        <w:pStyle w:val="BodyText"/>
        <w:spacing w:line="208" w:lineRule="auto" w:before="0"/>
        <w:ind w:left="120" w:right="1633"/>
      </w:pPr>
      <w:r>
        <w:rPr/>
        <w:t>Table</w:t>
      </w:r>
      <w:r>
        <w:rPr>
          <w:spacing w:val="-4"/>
        </w:rPr>
        <w:t> </w:t>
      </w:r>
      <w:r>
        <w:rPr/>
        <w:t>2.2</w:t>
      </w:r>
      <w:r>
        <w:rPr>
          <w:spacing w:val="-4"/>
        </w:rPr>
        <w:t> </w:t>
      </w:r>
      <w:r>
        <w:rPr/>
        <w:t>presents</w:t>
      </w:r>
      <w:r>
        <w:rPr>
          <w:spacing w:val="-4"/>
        </w:rPr>
        <w:t> </w:t>
      </w:r>
      <w:r>
        <w:rPr/>
        <w:t>the</w:t>
      </w:r>
      <w:r>
        <w:rPr>
          <w:spacing w:val="-4"/>
        </w:rPr>
        <w:t> </w:t>
      </w:r>
      <w:r>
        <w:rPr/>
        <w:t>segment-wise</w:t>
      </w:r>
      <w:r>
        <w:rPr>
          <w:spacing w:val="-4"/>
        </w:rPr>
        <w:t> </w:t>
      </w:r>
      <w:r>
        <w:rPr/>
        <w:t>revenue</w:t>
      </w:r>
      <w:r>
        <w:rPr>
          <w:spacing w:val="-4"/>
        </w:rPr>
        <w:t> </w:t>
      </w:r>
      <w:r>
        <w:rPr/>
        <w:t>contribution</w:t>
      </w:r>
      <w:r>
        <w:rPr>
          <w:spacing w:val="-4"/>
        </w:rPr>
        <w:t> </w:t>
      </w:r>
      <w:r>
        <w:rPr/>
        <w:t>and</w:t>
      </w:r>
      <w:r>
        <w:rPr>
          <w:spacing w:val="-4"/>
        </w:rPr>
        <w:t> </w:t>
      </w:r>
      <w:r>
        <w:rPr/>
        <w:t>growth</w:t>
      </w:r>
      <w:r>
        <w:rPr>
          <w:spacing w:val="-4"/>
        </w:rPr>
        <w:t> </w:t>
      </w:r>
      <w:r>
        <w:rPr/>
        <w:t>over</w:t>
      </w:r>
      <w:r>
        <w:rPr>
          <w:spacing w:val="-4"/>
        </w:rPr>
        <w:t> </w:t>
      </w:r>
      <w:r>
        <w:rPr/>
        <w:t>the</w:t>
      </w:r>
      <w:r>
        <w:rPr>
          <w:spacing w:val="-4"/>
        </w:rPr>
        <w:t> </w:t>
      </w:r>
      <w:r>
        <w:rPr/>
        <w:t>same </w:t>
      </w:r>
      <w:r>
        <w:rPr>
          <w:spacing w:val="-2"/>
        </w:rPr>
        <w:t>period:</w:t>
      </w:r>
    </w:p>
    <w:p>
      <w:pPr>
        <w:pStyle w:val="BodyText"/>
        <w:spacing w:before="14"/>
      </w:pPr>
    </w:p>
    <w:p>
      <w:pPr>
        <w:pStyle w:val="Heading4"/>
      </w:pPr>
      <w:r>
        <w:rPr/>
        <w:t>Table 2.2: Segment-wise Revenue Contribution (FY2020-21 to FY2024-</w:t>
      </w:r>
      <w:r>
        <w:rPr>
          <w:spacing w:val="-5"/>
        </w:rPr>
        <w:t>25)</w:t>
      </w:r>
    </w:p>
    <w:p>
      <w:pPr>
        <w:pStyle w:val="BodyText"/>
        <w:spacing w:before="6" w:after="1"/>
        <w:rPr>
          <w:rFonts w:ascii="Arial"/>
          <w:b/>
          <w:sz w:val="12"/>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4"/>
        <w:gridCol w:w="1229"/>
        <w:gridCol w:w="1229"/>
        <w:gridCol w:w="1229"/>
        <w:gridCol w:w="1229"/>
        <w:gridCol w:w="1229"/>
        <w:gridCol w:w="1184"/>
      </w:tblGrid>
      <w:tr>
        <w:trPr>
          <w:trHeight w:val="350" w:hRule="atLeast"/>
        </w:trPr>
        <w:tc>
          <w:tcPr>
            <w:tcW w:w="2174" w:type="dxa"/>
            <w:shd w:val="clear" w:color="auto" w:fill="D3D3D3"/>
          </w:tcPr>
          <w:p>
            <w:pPr>
              <w:pStyle w:val="TableParagraph"/>
              <w:ind w:left="686"/>
              <w:rPr>
                <w:sz w:val="20"/>
              </w:rPr>
            </w:pPr>
            <w:r>
              <w:rPr>
                <w:spacing w:val="-2"/>
                <w:sz w:val="20"/>
              </w:rPr>
              <w:t>Segment</w:t>
            </w:r>
          </w:p>
        </w:tc>
        <w:tc>
          <w:tcPr>
            <w:tcW w:w="1229" w:type="dxa"/>
            <w:shd w:val="clear" w:color="auto" w:fill="D3D3D3"/>
          </w:tcPr>
          <w:p>
            <w:pPr>
              <w:pStyle w:val="TableParagraph"/>
              <w:rPr>
                <w:sz w:val="20"/>
              </w:rPr>
            </w:pPr>
            <w:r>
              <w:rPr>
                <w:sz w:val="20"/>
              </w:rPr>
              <w:t>FY2020-</w:t>
            </w:r>
            <w:r>
              <w:rPr>
                <w:spacing w:val="-5"/>
                <w:sz w:val="20"/>
              </w:rPr>
              <w:t>21</w:t>
            </w:r>
          </w:p>
        </w:tc>
        <w:tc>
          <w:tcPr>
            <w:tcW w:w="1229" w:type="dxa"/>
            <w:shd w:val="clear" w:color="auto" w:fill="D3D3D3"/>
          </w:tcPr>
          <w:p>
            <w:pPr>
              <w:pStyle w:val="TableParagraph"/>
              <w:rPr>
                <w:sz w:val="20"/>
              </w:rPr>
            </w:pPr>
            <w:r>
              <w:rPr>
                <w:sz w:val="20"/>
              </w:rPr>
              <w:t>FY2021-</w:t>
            </w:r>
            <w:r>
              <w:rPr>
                <w:spacing w:val="-5"/>
                <w:sz w:val="20"/>
              </w:rPr>
              <w:t>22</w:t>
            </w:r>
          </w:p>
        </w:tc>
        <w:tc>
          <w:tcPr>
            <w:tcW w:w="1229" w:type="dxa"/>
            <w:shd w:val="clear" w:color="auto" w:fill="D3D3D3"/>
          </w:tcPr>
          <w:p>
            <w:pPr>
              <w:pStyle w:val="TableParagraph"/>
              <w:rPr>
                <w:sz w:val="20"/>
              </w:rPr>
            </w:pPr>
            <w:r>
              <w:rPr>
                <w:sz w:val="20"/>
              </w:rPr>
              <w:t>FY2022-</w:t>
            </w:r>
            <w:r>
              <w:rPr>
                <w:spacing w:val="-5"/>
                <w:sz w:val="20"/>
              </w:rPr>
              <w:t>23</w:t>
            </w:r>
          </w:p>
        </w:tc>
        <w:tc>
          <w:tcPr>
            <w:tcW w:w="1229" w:type="dxa"/>
            <w:shd w:val="clear" w:color="auto" w:fill="D3D3D3"/>
          </w:tcPr>
          <w:p>
            <w:pPr>
              <w:pStyle w:val="TableParagraph"/>
              <w:ind w:left="121"/>
              <w:rPr>
                <w:sz w:val="20"/>
              </w:rPr>
            </w:pPr>
            <w:r>
              <w:rPr>
                <w:sz w:val="20"/>
              </w:rPr>
              <w:t>FY2023-</w:t>
            </w:r>
            <w:r>
              <w:rPr>
                <w:spacing w:val="-5"/>
                <w:sz w:val="20"/>
              </w:rPr>
              <w:t>24</w:t>
            </w:r>
          </w:p>
        </w:tc>
        <w:tc>
          <w:tcPr>
            <w:tcW w:w="1229" w:type="dxa"/>
            <w:shd w:val="clear" w:color="auto" w:fill="D3D3D3"/>
          </w:tcPr>
          <w:p>
            <w:pPr>
              <w:pStyle w:val="TableParagraph"/>
              <w:ind w:left="121"/>
              <w:rPr>
                <w:sz w:val="20"/>
              </w:rPr>
            </w:pPr>
            <w:r>
              <w:rPr>
                <w:sz w:val="20"/>
              </w:rPr>
              <w:t>FY2024-</w:t>
            </w:r>
            <w:r>
              <w:rPr>
                <w:spacing w:val="-5"/>
                <w:sz w:val="20"/>
              </w:rPr>
              <w:t>25</w:t>
            </w:r>
          </w:p>
        </w:tc>
        <w:tc>
          <w:tcPr>
            <w:tcW w:w="1184" w:type="dxa"/>
            <w:shd w:val="clear" w:color="auto" w:fill="D3D3D3"/>
          </w:tcPr>
          <w:p>
            <w:pPr>
              <w:pStyle w:val="TableParagraph"/>
              <w:ind w:left="122"/>
              <w:rPr>
                <w:sz w:val="20"/>
              </w:rPr>
            </w:pPr>
            <w:r>
              <w:rPr>
                <w:sz w:val="20"/>
              </w:rPr>
              <w:t>CAGR </w:t>
            </w:r>
            <w:r>
              <w:rPr>
                <w:spacing w:val="-5"/>
                <w:sz w:val="20"/>
              </w:rPr>
              <w:t>(%)</w:t>
            </w:r>
          </w:p>
        </w:tc>
      </w:tr>
      <w:tr>
        <w:trPr>
          <w:trHeight w:val="350" w:hRule="atLeast"/>
        </w:trPr>
        <w:tc>
          <w:tcPr>
            <w:tcW w:w="2174" w:type="dxa"/>
          </w:tcPr>
          <w:p>
            <w:pPr>
              <w:pStyle w:val="TableParagraph"/>
              <w:rPr>
                <w:sz w:val="20"/>
              </w:rPr>
            </w:pPr>
            <w:r>
              <w:rPr>
                <w:sz w:val="20"/>
              </w:rPr>
              <w:t>Oil to </w:t>
            </w:r>
            <w:r>
              <w:rPr>
                <w:spacing w:val="-2"/>
                <w:sz w:val="20"/>
              </w:rPr>
              <w:t>Chemicals</w:t>
            </w:r>
          </w:p>
        </w:tc>
        <w:tc>
          <w:tcPr>
            <w:tcW w:w="1229" w:type="dxa"/>
          </w:tcPr>
          <w:p>
            <w:pPr>
              <w:pStyle w:val="TableParagraph"/>
              <w:rPr>
                <w:sz w:val="20"/>
              </w:rPr>
            </w:pPr>
            <w:r>
              <w:rPr>
                <w:spacing w:val="-2"/>
                <w:sz w:val="20"/>
              </w:rPr>
              <w:t>53.2%</w:t>
            </w:r>
          </w:p>
        </w:tc>
        <w:tc>
          <w:tcPr>
            <w:tcW w:w="1229" w:type="dxa"/>
          </w:tcPr>
          <w:p>
            <w:pPr>
              <w:pStyle w:val="TableParagraph"/>
              <w:rPr>
                <w:sz w:val="20"/>
              </w:rPr>
            </w:pPr>
            <w:r>
              <w:rPr>
                <w:spacing w:val="-2"/>
                <w:sz w:val="20"/>
              </w:rPr>
              <w:t>50.8%</w:t>
            </w:r>
          </w:p>
        </w:tc>
        <w:tc>
          <w:tcPr>
            <w:tcW w:w="1229" w:type="dxa"/>
          </w:tcPr>
          <w:p>
            <w:pPr>
              <w:pStyle w:val="TableParagraph"/>
              <w:rPr>
                <w:sz w:val="20"/>
              </w:rPr>
            </w:pPr>
            <w:r>
              <w:rPr>
                <w:spacing w:val="-2"/>
                <w:sz w:val="20"/>
              </w:rPr>
              <w:t>47.5%</w:t>
            </w:r>
          </w:p>
        </w:tc>
        <w:tc>
          <w:tcPr>
            <w:tcW w:w="1229" w:type="dxa"/>
          </w:tcPr>
          <w:p>
            <w:pPr>
              <w:pStyle w:val="TableParagraph"/>
              <w:ind w:left="121"/>
              <w:rPr>
                <w:sz w:val="20"/>
              </w:rPr>
            </w:pPr>
            <w:r>
              <w:rPr>
                <w:spacing w:val="-2"/>
                <w:sz w:val="20"/>
              </w:rPr>
              <w:t>45.2%</w:t>
            </w:r>
          </w:p>
        </w:tc>
        <w:tc>
          <w:tcPr>
            <w:tcW w:w="1229" w:type="dxa"/>
          </w:tcPr>
          <w:p>
            <w:pPr>
              <w:pStyle w:val="TableParagraph"/>
              <w:ind w:left="121"/>
              <w:rPr>
                <w:sz w:val="20"/>
              </w:rPr>
            </w:pPr>
            <w:r>
              <w:rPr>
                <w:spacing w:val="-2"/>
                <w:sz w:val="20"/>
              </w:rPr>
              <w:t>42.6%</w:t>
            </w:r>
          </w:p>
        </w:tc>
        <w:tc>
          <w:tcPr>
            <w:tcW w:w="1184" w:type="dxa"/>
          </w:tcPr>
          <w:p>
            <w:pPr>
              <w:pStyle w:val="TableParagraph"/>
              <w:ind w:left="122"/>
              <w:rPr>
                <w:sz w:val="20"/>
              </w:rPr>
            </w:pPr>
            <w:r>
              <w:rPr>
                <w:spacing w:val="-4"/>
                <w:sz w:val="20"/>
              </w:rPr>
              <w:t>5.8%</w:t>
            </w:r>
          </w:p>
        </w:tc>
      </w:tr>
      <w:tr>
        <w:trPr>
          <w:trHeight w:val="350" w:hRule="atLeast"/>
        </w:trPr>
        <w:tc>
          <w:tcPr>
            <w:tcW w:w="2174" w:type="dxa"/>
          </w:tcPr>
          <w:p>
            <w:pPr>
              <w:pStyle w:val="TableParagraph"/>
              <w:rPr>
                <w:sz w:val="20"/>
              </w:rPr>
            </w:pPr>
            <w:r>
              <w:rPr>
                <w:sz w:val="20"/>
              </w:rPr>
              <w:t>Oil and </w:t>
            </w:r>
            <w:r>
              <w:rPr>
                <w:spacing w:val="-5"/>
                <w:sz w:val="20"/>
              </w:rPr>
              <w:t>Gas</w:t>
            </w:r>
          </w:p>
        </w:tc>
        <w:tc>
          <w:tcPr>
            <w:tcW w:w="1229" w:type="dxa"/>
          </w:tcPr>
          <w:p>
            <w:pPr>
              <w:pStyle w:val="TableParagraph"/>
              <w:rPr>
                <w:sz w:val="20"/>
              </w:rPr>
            </w:pPr>
            <w:r>
              <w:rPr>
                <w:spacing w:val="-4"/>
                <w:sz w:val="20"/>
              </w:rPr>
              <w:t>1.5%</w:t>
            </w:r>
          </w:p>
        </w:tc>
        <w:tc>
          <w:tcPr>
            <w:tcW w:w="1229" w:type="dxa"/>
          </w:tcPr>
          <w:p>
            <w:pPr>
              <w:pStyle w:val="TableParagraph"/>
              <w:rPr>
                <w:sz w:val="20"/>
              </w:rPr>
            </w:pPr>
            <w:r>
              <w:rPr>
                <w:spacing w:val="-4"/>
                <w:sz w:val="20"/>
              </w:rPr>
              <w:t>2.1%</w:t>
            </w:r>
          </w:p>
        </w:tc>
        <w:tc>
          <w:tcPr>
            <w:tcW w:w="1229" w:type="dxa"/>
          </w:tcPr>
          <w:p>
            <w:pPr>
              <w:pStyle w:val="TableParagraph"/>
              <w:rPr>
                <w:sz w:val="20"/>
              </w:rPr>
            </w:pPr>
            <w:r>
              <w:rPr>
                <w:spacing w:val="-4"/>
                <w:sz w:val="20"/>
              </w:rPr>
              <w:t>2.6%</w:t>
            </w:r>
          </w:p>
        </w:tc>
        <w:tc>
          <w:tcPr>
            <w:tcW w:w="1229" w:type="dxa"/>
          </w:tcPr>
          <w:p>
            <w:pPr>
              <w:pStyle w:val="TableParagraph"/>
              <w:ind w:left="121"/>
              <w:rPr>
                <w:sz w:val="20"/>
              </w:rPr>
            </w:pPr>
            <w:r>
              <w:rPr>
                <w:spacing w:val="-4"/>
                <w:sz w:val="20"/>
              </w:rPr>
              <w:t>2.9%</w:t>
            </w:r>
          </w:p>
        </w:tc>
        <w:tc>
          <w:tcPr>
            <w:tcW w:w="1229" w:type="dxa"/>
          </w:tcPr>
          <w:p>
            <w:pPr>
              <w:pStyle w:val="TableParagraph"/>
              <w:ind w:left="121"/>
              <w:rPr>
                <w:sz w:val="20"/>
              </w:rPr>
            </w:pPr>
            <w:r>
              <w:rPr>
                <w:spacing w:val="-4"/>
                <w:sz w:val="20"/>
              </w:rPr>
              <w:t>3.2%</w:t>
            </w:r>
          </w:p>
        </w:tc>
        <w:tc>
          <w:tcPr>
            <w:tcW w:w="1184" w:type="dxa"/>
          </w:tcPr>
          <w:p>
            <w:pPr>
              <w:pStyle w:val="TableParagraph"/>
              <w:ind w:left="122"/>
              <w:rPr>
                <w:sz w:val="20"/>
              </w:rPr>
            </w:pPr>
            <w:r>
              <w:rPr>
                <w:spacing w:val="-2"/>
                <w:sz w:val="20"/>
              </w:rPr>
              <w:t>29.4%</w:t>
            </w:r>
          </w:p>
        </w:tc>
      </w:tr>
      <w:tr>
        <w:trPr>
          <w:trHeight w:val="350" w:hRule="atLeast"/>
        </w:trPr>
        <w:tc>
          <w:tcPr>
            <w:tcW w:w="2174" w:type="dxa"/>
          </w:tcPr>
          <w:p>
            <w:pPr>
              <w:pStyle w:val="TableParagraph"/>
              <w:rPr>
                <w:sz w:val="20"/>
              </w:rPr>
            </w:pPr>
            <w:r>
              <w:rPr>
                <w:spacing w:val="-2"/>
                <w:sz w:val="20"/>
              </w:rPr>
              <w:t>Retail</w:t>
            </w:r>
          </w:p>
        </w:tc>
        <w:tc>
          <w:tcPr>
            <w:tcW w:w="1229" w:type="dxa"/>
          </w:tcPr>
          <w:p>
            <w:pPr>
              <w:pStyle w:val="TableParagraph"/>
              <w:rPr>
                <w:sz w:val="20"/>
              </w:rPr>
            </w:pPr>
            <w:r>
              <w:rPr>
                <w:spacing w:val="-2"/>
                <w:sz w:val="20"/>
              </w:rPr>
              <w:t>26.8%</w:t>
            </w:r>
          </w:p>
        </w:tc>
        <w:tc>
          <w:tcPr>
            <w:tcW w:w="1229" w:type="dxa"/>
          </w:tcPr>
          <w:p>
            <w:pPr>
              <w:pStyle w:val="TableParagraph"/>
              <w:rPr>
                <w:sz w:val="20"/>
              </w:rPr>
            </w:pPr>
            <w:r>
              <w:rPr>
                <w:spacing w:val="-2"/>
                <w:sz w:val="20"/>
              </w:rPr>
              <w:t>28.5%</w:t>
            </w:r>
          </w:p>
        </w:tc>
        <w:tc>
          <w:tcPr>
            <w:tcW w:w="1229" w:type="dxa"/>
          </w:tcPr>
          <w:p>
            <w:pPr>
              <w:pStyle w:val="TableParagraph"/>
              <w:rPr>
                <w:sz w:val="20"/>
              </w:rPr>
            </w:pPr>
            <w:r>
              <w:rPr>
                <w:spacing w:val="-2"/>
                <w:sz w:val="20"/>
              </w:rPr>
              <w:t>30.2%</w:t>
            </w:r>
          </w:p>
        </w:tc>
        <w:tc>
          <w:tcPr>
            <w:tcW w:w="1229" w:type="dxa"/>
          </w:tcPr>
          <w:p>
            <w:pPr>
              <w:pStyle w:val="TableParagraph"/>
              <w:ind w:left="121"/>
              <w:rPr>
                <w:sz w:val="20"/>
              </w:rPr>
            </w:pPr>
            <w:r>
              <w:rPr>
                <w:spacing w:val="-2"/>
                <w:sz w:val="20"/>
              </w:rPr>
              <w:t>31.7%</w:t>
            </w:r>
          </w:p>
        </w:tc>
        <w:tc>
          <w:tcPr>
            <w:tcW w:w="1229" w:type="dxa"/>
          </w:tcPr>
          <w:p>
            <w:pPr>
              <w:pStyle w:val="TableParagraph"/>
              <w:ind w:left="121"/>
              <w:rPr>
                <w:sz w:val="20"/>
              </w:rPr>
            </w:pPr>
            <w:r>
              <w:rPr>
                <w:spacing w:val="-2"/>
                <w:sz w:val="20"/>
              </w:rPr>
              <w:t>33.1%</w:t>
            </w:r>
          </w:p>
        </w:tc>
        <w:tc>
          <w:tcPr>
            <w:tcW w:w="1184" w:type="dxa"/>
          </w:tcPr>
          <w:p>
            <w:pPr>
              <w:pStyle w:val="TableParagraph"/>
              <w:ind w:left="122"/>
              <w:rPr>
                <w:sz w:val="20"/>
              </w:rPr>
            </w:pPr>
            <w:r>
              <w:rPr>
                <w:spacing w:val="-2"/>
                <w:sz w:val="20"/>
              </w:rPr>
              <w:t>18.2%</w:t>
            </w:r>
          </w:p>
        </w:tc>
      </w:tr>
      <w:tr>
        <w:trPr>
          <w:trHeight w:val="350" w:hRule="atLeast"/>
        </w:trPr>
        <w:tc>
          <w:tcPr>
            <w:tcW w:w="2174" w:type="dxa"/>
          </w:tcPr>
          <w:p>
            <w:pPr>
              <w:pStyle w:val="TableParagraph"/>
              <w:rPr>
                <w:sz w:val="20"/>
              </w:rPr>
            </w:pPr>
            <w:r>
              <w:rPr>
                <w:sz w:val="20"/>
              </w:rPr>
              <w:t>Digital </w:t>
            </w:r>
            <w:r>
              <w:rPr>
                <w:spacing w:val="-2"/>
                <w:sz w:val="20"/>
              </w:rPr>
              <w:t>Services</w:t>
            </w:r>
          </w:p>
        </w:tc>
        <w:tc>
          <w:tcPr>
            <w:tcW w:w="1229" w:type="dxa"/>
          </w:tcPr>
          <w:p>
            <w:pPr>
              <w:pStyle w:val="TableParagraph"/>
              <w:rPr>
                <w:sz w:val="20"/>
              </w:rPr>
            </w:pPr>
            <w:r>
              <w:rPr>
                <w:spacing w:val="-2"/>
                <w:sz w:val="20"/>
              </w:rPr>
              <w:t>17.5%</w:t>
            </w:r>
          </w:p>
        </w:tc>
        <w:tc>
          <w:tcPr>
            <w:tcW w:w="1229" w:type="dxa"/>
          </w:tcPr>
          <w:p>
            <w:pPr>
              <w:pStyle w:val="TableParagraph"/>
              <w:rPr>
                <w:sz w:val="20"/>
              </w:rPr>
            </w:pPr>
            <w:r>
              <w:rPr>
                <w:spacing w:val="-2"/>
                <w:sz w:val="20"/>
              </w:rPr>
              <w:t>17.9%</w:t>
            </w:r>
          </w:p>
        </w:tc>
        <w:tc>
          <w:tcPr>
            <w:tcW w:w="1229" w:type="dxa"/>
          </w:tcPr>
          <w:p>
            <w:pPr>
              <w:pStyle w:val="TableParagraph"/>
              <w:rPr>
                <w:sz w:val="20"/>
              </w:rPr>
            </w:pPr>
            <w:r>
              <w:rPr>
                <w:spacing w:val="-2"/>
                <w:sz w:val="20"/>
              </w:rPr>
              <w:t>18.6%</w:t>
            </w:r>
          </w:p>
        </w:tc>
        <w:tc>
          <w:tcPr>
            <w:tcW w:w="1229" w:type="dxa"/>
          </w:tcPr>
          <w:p>
            <w:pPr>
              <w:pStyle w:val="TableParagraph"/>
              <w:ind w:left="121"/>
              <w:rPr>
                <w:sz w:val="20"/>
              </w:rPr>
            </w:pPr>
            <w:r>
              <w:rPr>
                <w:spacing w:val="-2"/>
                <w:sz w:val="20"/>
              </w:rPr>
              <w:t>19.0%</w:t>
            </w:r>
          </w:p>
        </w:tc>
        <w:tc>
          <w:tcPr>
            <w:tcW w:w="1229" w:type="dxa"/>
          </w:tcPr>
          <w:p>
            <w:pPr>
              <w:pStyle w:val="TableParagraph"/>
              <w:ind w:left="121"/>
              <w:rPr>
                <w:sz w:val="20"/>
              </w:rPr>
            </w:pPr>
            <w:r>
              <w:rPr>
                <w:spacing w:val="-2"/>
                <w:sz w:val="20"/>
              </w:rPr>
              <w:t>19.4%</w:t>
            </w:r>
          </w:p>
        </w:tc>
        <w:tc>
          <w:tcPr>
            <w:tcW w:w="1184" w:type="dxa"/>
          </w:tcPr>
          <w:p>
            <w:pPr>
              <w:pStyle w:val="TableParagraph"/>
              <w:ind w:left="122"/>
              <w:rPr>
                <w:sz w:val="20"/>
              </w:rPr>
            </w:pPr>
            <w:r>
              <w:rPr>
                <w:spacing w:val="-2"/>
                <w:sz w:val="20"/>
              </w:rPr>
              <w:t>15.1%</w:t>
            </w:r>
          </w:p>
        </w:tc>
      </w:tr>
      <w:tr>
        <w:trPr>
          <w:trHeight w:val="350" w:hRule="atLeast"/>
        </w:trPr>
        <w:tc>
          <w:tcPr>
            <w:tcW w:w="2174" w:type="dxa"/>
          </w:tcPr>
          <w:p>
            <w:pPr>
              <w:pStyle w:val="TableParagraph"/>
              <w:rPr>
                <w:sz w:val="20"/>
              </w:rPr>
            </w:pPr>
            <w:r>
              <w:rPr>
                <w:sz w:val="20"/>
              </w:rPr>
              <w:t>New Energy &amp; </w:t>
            </w:r>
            <w:r>
              <w:rPr>
                <w:spacing w:val="-2"/>
                <w:sz w:val="20"/>
              </w:rPr>
              <w:t>Others</w:t>
            </w:r>
          </w:p>
        </w:tc>
        <w:tc>
          <w:tcPr>
            <w:tcW w:w="1229" w:type="dxa"/>
          </w:tcPr>
          <w:p>
            <w:pPr>
              <w:pStyle w:val="TableParagraph"/>
              <w:rPr>
                <w:sz w:val="20"/>
              </w:rPr>
            </w:pPr>
            <w:r>
              <w:rPr>
                <w:spacing w:val="-4"/>
                <w:sz w:val="20"/>
              </w:rPr>
              <w:t>1.0%</w:t>
            </w:r>
          </w:p>
        </w:tc>
        <w:tc>
          <w:tcPr>
            <w:tcW w:w="1229" w:type="dxa"/>
          </w:tcPr>
          <w:p>
            <w:pPr>
              <w:pStyle w:val="TableParagraph"/>
              <w:rPr>
                <w:sz w:val="20"/>
              </w:rPr>
            </w:pPr>
            <w:r>
              <w:rPr>
                <w:spacing w:val="-4"/>
                <w:sz w:val="20"/>
              </w:rPr>
              <w:t>0.7%</w:t>
            </w:r>
          </w:p>
        </w:tc>
        <w:tc>
          <w:tcPr>
            <w:tcW w:w="1229" w:type="dxa"/>
          </w:tcPr>
          <w:p>
            <w:pPr>
              <w:pStyle w:val="TableParagraph"/>
              <w:rPr>
                <w:sz w:val="20"/>
              </w:rPr>
            </w:pPr>
            <w:r>
              <w:rPr>
                <w:spacing w:val="-4"/>
                <w:sz w:val="20"/>
              </w:rPr>
              <w:t>1.1%</w:t>
            </w:r>
          </w:p>
        </w:tc>
        <w:tc>
          <w:tcPr>
            <w:tcW w:w="1229" w:type="dxa"/>
          </w:tcPr>
          <w:p>
            <w:pPr>
              <w:pStyle w:val="TableParagraph"/>
              <w:ind w:left="121"/>
              <w:rPr>
                <w:sz w:val="20"/>
              </w:rPr>
            </w:pPr>
            <w:r>
              <w:rPr>
                <w:spacing w:val="-4"/>
                <w:sz w:val="20"/>
              </w:rPr>
              <w:t>1.2%</w:t>
            </w:r>
          </w:p>
        </w:tc>
        <w:tc>
          <w:tcPr>
            <w:tcW w:w="1229" w:type="dxa"/>
          </w:tcPr>
          <w:p>
            <w:pPr>
              <w:pStyle w:val="TableParagraph"/>
              <w:ind w:left="121"/>
              <w:rPr>
                <w:sz w:val="20"/>
              </w:rPr>
            </w:pPr>
            <w:r>
              <w:rPr>
                <w:spacing w:val="-4"/>
                <w:sz w:val="20"/>
              </w:rPr>
              <w:t>1.7%</w:t>
            </w:r>
          </w:p>
        </w:tc>
        <w:tc>
          <w:tcPr>
            <w:tcW w:w="1184" w:type="dxa"/>
          </w:tcPr>
          <w:p>
            <w:pPr>
              <w:pStyle w:val="TableParagraph"/>
              <w:ind w:left="122"/>
              <w:rPr>
                <w:sz w:val="20"/>
              </w:rPr>
            </w:pPr>
            <w:r>
              <w:rPr>
                <w:spacing w:val="-2"/>
                <w:sz w:val="20"/>
              </w:rPr>
              <w:t>22.0%</w:t>
            </w:r>
          </w:p>
        </w:tc>
      </w:tr>
    </w:tbl>
    <w:p>
      <w:pPr>
        <w:pStyle w:val="BodyText"/>
        <w:spacing w:before="213"/>
        <w:rPr>
          <w:rFonts w:ascii="Arial"/>
          <w:b/>
        </w:rPr>
      </w:pPr>
    </w:p>
    <w:p>
      <w:pPr>
        <w:spacing w:before="1"/>
        <w:ind w:left="120" w:right="0" w:firstLine="0"/>
        <w:jc w:val="left"/>
        <w:rPr>
          <w:rFonts w:ascii="Arial"/>
          <w:i/>
          <w:sz w:val="24"/>
        </w:rPr>
      </w:pPr>
      <w:r>
        <w:rPr>
          <w:rFonts w:ascii="Arial"/>
          <w:i/>
          <w:sz w:val="24"/>
        </w:rPr>
        <w:t>Source: RIL Annual Reports FY2020-21 to FY2024-</w:t>
      </w:r>
      <w:r>
        <w:rPr>
          <w:rFonts w:ascii="Arial"/>
          <w:i/>
          <w:spacing w:val="-5"/>
          <w:sz w:val="24"/>
        </w:rPr>
        <w:t>25</w:t>
      </w:r>
    </w:p>
    <w:p>
      <w:pPr>
        <w:pStyle w:val="BodyText"/>
        <w:spacing w:before="92"/>
        <w:rPr>
          <w:rFonts w:ascii="Arial"/>
          <w:i/>
        </w:rPr>
      </w:pPr>
    </w:p>
    <w:p>
      <w:pPr>
        <w:pStyle w:val="Heading2"/>
        <w:numPr>
          <w:ilvl w:val="1"/>
          <w:numId w:val="3"/>
        </w:numPr>
        <w:tabs>
          <w:tab w:pos="653" w:val="left" w:leader="none"/>
        </w:tabs>
        <w:spacing w:line="240" w:lineRule="auto" w:before="1" w:after="0"/>
        <w:ind w:left="653" w:right="0" w:hanging="533"/>
        <w:jc w:val="left"/>
      </w:pPr>
      <w:r>
        <w:rPr/>
        <w:t>Strategic </w:t>
      </w:r>
      <w:r>
        <w:rPr>
          <w:spacing w:val="-2"/>
        </w:rPr>
        <w:t>Direction</w:t>
      </w:r>
    </w:p>
    <w:p>
      <w:pPr>
        <w:pStyle w:val="BodyText"/>
        <w:spacing w:before="8"/>
        <w:rPr>
          <w:rFonts w:ascii="Arial"/>
          <w:b/>
          <w:sz w:val="32"/>
        </w:rPr>
      </w:pPr>
    </w:p>
    <w:p>
      <w:pPr>
        <w:pStyle w:val="BodyText"/>
        <w:spacing w:line="208" w:lineRule="auto" w:before="0"/>
        <w:ind w:left="120" w:right="1633"/>
      </w:pPr>
      <w:r>
        <w:rPr/>
        <w:t>RIL's</w:t>
      </w:r>
      <w:r>
        <w:rPr>
          <w:spacing w:val="-4"/>
        </w:rPr>
        <w:t> </w:t>
      </w:r>
      <w:r>
        <w:rPr/>
        <w:t>strategic</w:t>
      </w:r>
      <w:r>
        <w:rPr>
          <w:spacing w:val="-4"/>
        </w:rPr>
        <w:t> </w:t>
      </w:r>
      <w:r>
        <w:rPr/>
        <w:t>direction</w:t>
      </w:r>
      <w:r>
        <w:rPr>
          <w:spacing w:val="-4"/>
        </w:rPr>
        <w:t> </w:t>
      </w:r>
      <w:r>
        <w:rPr/>
        <w:t>has</w:t>
      </w:r>
      <w:r>
        <w:rPr>
          <w:spacing w:val="-4"/>
        </w:rPr>
        <w:t> </w:t>
      </w:r>
      <w:r>
        <w:rPr/>
        <w:t>evolved</w:t>
      </w:r>
      <w:r>
        <w:rPr>
          <w:spacing w:val="-4"/>
        </w:rPr>
        <w:t> </w:t>
      </w:r>
      <w:r>
        <w:rPr/>
        <w:t>significantly</w:t>
      </w:r>
      <w:r>
        <w:rPr>
          <w:spacing w:val="-4"/>
        </w:rPr>
        <w:t> </w:t>
      </w:r>
      <w:r>
        <w:rPr/>
        <w:t>over</w:t>
      </w:r>
      <w:r>
        <w:rPr>
          <w:spacing w:val="-4"/>
        </w:rPr>
        <w:t> </w:t>
      </w:r>
      <w:r>
        <w:rPr/>
        <w:t>the</w:t>
      </w:r>
      <w:r>
        <w:rPr>
          <w:spacing w:val="-4"/>
        </w:rPr>
        <w:t> </w:t>
      </w:r>
      <w:r>
        <w:rPr/>
        <w:t>past</w:t>
      </w:r>
      <w:r>
        <w:rPr>
          <w:spacing w:val="-4"/>
        </w:rPr>
        <w:t> </w:t>
      </w:r>
      <w:r>
        <w:rPr/>
        <w:t>decade,</w:t>
      </w:r>
      <w:r>
        <w:rPr>
          <w:spacing w:val="-4"/>
        </w:rPr>
        <w:t> </w:t>
      </w:r>
      <w:r>
        <w:rPr/>
        <w:t>with</w:t>
      </w:r>
      <w:r>
        <w:rPr>
          <w:spacing w:val="-4"/>
        </w:rPr>
        <w:t> </w:t>
      </w:r>
      <w:r>
        <w:rPr/>
        <w:t>several key pivots that influence its working capital management approach:</w:t>
      </w:r>
    </w:p>
    <w:p>
      <w:pPr>
        <w:pStyle w:val="BodyText"/>
        <w:spacing w:before="14"/>
      </w:pPr>
    </w:p>
    <w:p>
      <w:pPr>
        <w:pStyle w:val="Heading4"/>
        <w:numPr>
          <w:ilvl w:val="0"/>
          <w:numId w:val="9"/>
        </w:numPr>
        <w:tabs>
          <w:tab w:pos="386" w:val="left" w:leader="none"/>
        </w:tabs>
        <w:spacing w:line="240" w:lineRule="auto" w:before="1" w:after="0"/>
        <w:ind w:left="386" w:right="0" w:hanging="266"/>
        <w:jc w:val="left"/>
      </w:pPr>
      <w:r>
        <w:rPr/>
        <w:t>Transition from Hydrocarbons to New </w:t>
      </w:r>
      <w:r>
        <w:rPr>
          <w:spacing w:val="-2"/>
        </w:rPr>
        <w:t>Energy</w:t>
      </w:r>
    </w:p>
    <w:p>
      <w:pPr>
        <w:pStyle w:val="ListParagraph"/>
        <w:numPr>
          <w:ilvl w:val="1"/>
          <w:numId w:val="9"/>
        </w:numPr>
        <w:tabs>
          <w:tab w:pos="266" w:val="left" w:leader="none"/>
        </w:tabs>
        <w:spacing w:line="208" w:lineRule="auto" w:before="113" w:after="0"/>
        <w:ind w:left="120" w:right="1926" w:firstLine="0"/>
        <w:jc w:val="left"/>
        <w:rPr>
          <w:sz w:val="24"/>
        </w:rPr>
      </w:pPr>
      <w:r>
        <w:rPr>
          <w:sz w:val="24"/>
        </w:rPr>
        <w:t>Strategic</w:t>
      </w:r>
      <w:r>
        <w:rPr>
          <w:spacing w:val="-5"/>
          <w:sz w:val="24"/>
        </w:rPr>
        <w:t> </w:t>
      </w:r>
      <w:r>
        <w:rPr>
          <w:sz w:val="24"/>
        </w:rPr>
        <w:t>shift</w:t>
      </w:r>
      <w:r>
        <w:rPr>
          <w:spacing w:val="-5"/>
          <w:sz w:val="24"/>
        </w:rPr>
        <w:t> </w:t>
      </w:r>
      <w:r>
        <w:rPr>
          <w:sz w:val="24"/>
        </w:rPr>
        <w:t>toward</w:t>
      </w:r>
      <w:r>
        <w:rPr>
          <w:spacing w:val="-5"/>
          <w:sz w:val="24"/>
        </w:rPr>
        <w:t> </w:t>
      </w:r>
      <w:r>
        <w:rPr>
          <w:sz w:val="24"/>
        </w:rPr>
        <w:t>sustainable</w:t>
      </w:r>
      <w:r>
        <w:rPr>
          <w:spacing w:val="-5"/>
          <w:sz w:val="24"/>
        </w:rPr>
        <w:t> </w:t>
      </w:r>
      <w:r>
        <w:rPr>
          <w:sz w:val="24"/>
        </w:rPr>
        <w:t>energy</w:t>
      </w:r>
      <w:r>
        <w:rPr>
          <w:spacing w:val="-5"/>
          <w:sz w:val="24"/>
        </w:rPr>
        <w:t> </w:t>
      </w:r>
      <w:r>
        <w:rPr>
          <w:sz w:val="24"/>
        </w:rPr>
        <w:t>solutions</w:t>
      </w:r>
      <w:r>
        <w:rPr>
          <w:spacing w:val="-5"/>
          <w:sz w:val="24"/>
        </w:rPr>
        <w:t> </w:t>
      </w:r>
      <w:r>
        <w:rPr>
          <w:sz w:val="24"/>
        </w:rPr>
        <w:t>including</w:t>
      </w:r>
      <w:r>
        <w:rPr>
          <w:spacing w:val="-5"/>
          <w:sz w:val="24"/>
        </w:rPr>
        <w:t> </w:t>
      </w:r>
      <w:r>
        <w:rPr>
          <w:sz w:val="24"/>
        </w:rPr>
        <w:t>solar,</w:t>
      </w:r>
      <w:r>
        <w:rPr>
          <w:spacing w:val="-5"/>
          <w:sz w:val="24"/>
        </w:rPr>
        <w:t> </w:t>
      </w:r>
      <w:r>
        <w:rPr>
          <w:sz w:val="24"/>
        </w:rPr>
        <w:t>hydrogen,</w:t>
      </w:r>
      <w:r>
        <w:rPr>
          <w:spacing w:val="-5"/>
          <w:sz w:val="24"/>
        </w:rPr>
        <w:t> </w:t>
      </w:r>
      <w:r>
        <w:rPr>
          <w:sz w:val="24"/>
        </w:rPr>
        <w:t>and advanced materials</w:t>
      </w:r>
    </w:p>
    <w:p>
      <w:pPr>
        <w:pStyle w:val="ListParagraph"/>
        <w:numPr>
          <w:ilvl w:val="1"/>
          <w:numId w:val="9"/>
        </w:numPr>
        <w:tabs>
          <w:tab w:pos="266" w:val="left" w:leader="none"/>
        </w:tabs>
        <w:spacing w:line="240" w:lineRule="auto" w:before="75" w:after="0"/>
        <w:ind w:left="266" w:right="0" w:hanging="146"/>
        <w:jc w:val="left"/>
        <w:rPr>
          <w:sz w:val="24"/>
        </w:rPr>
      </w:pPr>
      <w:r>
        <w:rPr>
          <w:sz w:val="24"/>
        </w:rPr>
        <w:t>Planned investment of </w:t>
      </w:r>
      <w:r>
        <w:rPr>
          <w:rFonts w:ascii="MS Gothic" w:hAnsi="MS Gothic"/>
          <w:sz w:val="24"/>
        </w:rPr>
        <w:t>■</w:t>
      </w:r>
      <w:r>
        <w:rPr>
          <w:sz w:val="24"/>
        </w:rPr>
        <w:t>75,000 crores in clean energy initiatives through </w:t>
      </w:r>
      <w:r>
        <w:rPr>
          <w:spacing w:val="-4"/>
          <w:sz w:val="24"/>
        </w:rPr>
        <w:t>2030</w:t>
      </w:r>
    </w:p>
    <w:p>
      <w:pPr>
        <w:pStyle w:val="ListParagraph"/>
        <w:numPr>
          <w:ilvl w:val="1"/>
          <w:numId w:val="9"/>
        </w:numPr>
        <w:tabs>
          <w:tab w:pos="266" w:val="left" w:leader="none"/>
        </w:tabs>
        <w:spacing w:line="240" w:lineRule="auto" w:before="68" w:after="0"/>
        <w:ind w:left="266" w:right="0" w:hanging="146"/>
        <w:jc w:val="left"/>
        <w:rPr>
          <w:sz w:val="24"/>
        </w:rPr>
      </w:pPr>
      <w:r>
        <w:rPr>
          <w:sz w:val="24"/>
        </w:rPr>
        <w:t>Integration of circular economy principles into </w:t>
      </w:r>
      <w:r>
        <w:rPr>
          <w:spacing w:val="-2"/>
          <w:sz w:val="24"/>
        </w:rPr>
        <w:t>operations</w:t>
      </w:r>
    </w:p>
    <w:p>
      <w:pPr>
        <w:pStyle w:val="ListParagraph"/>
        <w:spacing w:after="0" w:line="240" w:lineRule="auto"/>
        <w:jc w:val="left"/>
        <w:rPr>
          <w:sz w:val="24"/>
        </w:rPr>
        <w:sectPr>
          <w:pgSz w:w="12240" w:h="15840"/>
          <w:pgMar w:top="1500" w:bottom="280" w:left="1440" w:right="0"/>
        </w:sectPr>
      </w:pPr>
    </w:p>
    <w:p>
      <w:pPr>
        <w:pStyle w:val="Heading4"/>
        <w:numPr>
          <w:ilvl w:val="0"/>
          <w:numId w:val="9"/>
        </w:numPr>
        <w:tabs>
          <w:tab w:pos="386" w:val="left" w:leader="none"/>
        </w:tabs>
        <w:spacing w:line="240" w:lineRule="auto" w:before="75" w:after="0"/>
        <w:ind w:left="386" w:right="0" w:hanging="266"/>
        <w:jc w:val="left"/>
      </w:pPr>
      <w:r>
        <w:rPr/>
        <w:t>Digital </w:t>
      </w:r>
      <w:r>
        <w:rPr>
          <w:spacing w:val="-2"/>
        </w:rPr>
        <w:t>Transformation</w:t>
      </w:r>
    </w:p>
    <w:p>
      <w:pPr>
        <w:pStyle w:val="ListParagraph"/>
        <w:numPr>
          <w:ilvl w:val="1"/>
          <w:numId w:val="9"/>
        </w:numPr>
        <w:tabs>
          <w:tab w:pos="266" w:val="left" w:leader="none"/>
        </w:tabs>
        <w:spacing w:line="208" w:lineRule="auto" w:before="113" w:after="0"/>
        <w:ind w:left="120" w:right="2406" w:firstLine="0"/>
        <w:jc w:val="left"/>
        <w:rPr>
          <w:sz w:val="24"/>
        </w:rPr>
      </w:pPr>
      <w:r>
        <w:rPr>
          <w:sz w:val="24"/>
        </w:rPr>
        <w:t>Leveraging</w:t>
      </w:r>
      <w:r>
        <w:rPr>
          <w:spacing w:val="-5"/>
          <w:sz w:val="24"/>
        </w:rPr>
        <w:t> </w:t>
      </w:r>
      <w:r>
        <w:rPr>
          <w:sz w:val="24"/>
        </w:rPr>
        <w:t>technology</w:t>
      </w:r>
      <w:r>
        <w:rPr>
          <w:spacing w:val="-5"/>
          <w:sz w:val="24"/>
        </w:rPr>
        <w:t> </w:t>
      </w:r>
      <w:r>
        <w:rPr>
          <w:sz w:val="24"/>
        </w:rPr>
        <w:t>across</w:t>
      </w:r>
      <w:r>
        <w:rPr>
          <w:spacing w:val="-5"/>
          <w:sz w:val="24"/>
        </w:rPr>
        <w:t> </w:t>
      </w:r>
      <w:r>
        <w:rPr>
          <w:sz w:val="24"/>
        </w:rPr>
        <w:t>all</w:t>
      </w:r>
      <w:r>
        <w:rPr>
          <w:spacing w:val="-5"/>
          <w:sz w:val="24"/>
        </w:rPr>
        <w:t> </w:t>
      </w:r>
      <w:r>
        <w:rPr>
          <w:sz w:val="24"/>
        </w:rPr>
        <w:t>business</w:t>
      </w:r>
      <w:r>
        <w:rPr>
          <w:spacing w:val="-5"/>
          <w:sz w:val="24"/>
        </w:rPr>
        <w:t> </w:t>
      </w:r>
      <w:r>
        <w:rPr>
          <w:sz w:val="24"/>
        </w:rPr>
        <w:t>segments</w:t>
      </w:r>
      <w:r>
        <w:rPr>
          <w:spacing w:val="-5"/>
          <w:sz w:val="24"/>
        </w:rPr>
        <w:t> </w:t>
      </w:r>
      <w:r>
        <w:rPr>
          <w:sz w:val="24"/>
        </w:rPr>
        <w:t>to</w:t>
      </w:r>
      <w:r>
        <w:rPr>
          <w:spacing w:val="-5"/>
          <w:sz w:val="24"/>
        </w:rPr>
        <w:t> </w:t>
      </w:r>
      <w:r>
        <w:rPr>
          <w:sz w:val="24"/>
        </w:rPr>
        <w:t>enhance</w:t>
      </w:r>
      <w:r>
        <w:rPr>
          <w:spacing w:val="-5"/>
          <w:sz w:val="24"/>
        </w:rPr>
        <w:t> </w:t>
      </w:r>
      <w:r>
        <w:rPr>
          <w:sz w:val="24"/>
        </w:rPr>
        <w:t>operational </w:t>
      </w:r>
      <w:r>
        <w:rPr>
          <w:spacing w:val="-2"/>
          <w:sz w:val="24"/>
        </w:rPr>
        <w:t>efficiency</w:t>
      </w:r>
    </w:p>
    <w:p>
      <w:pPr>
        <w:pStyle w:val="ListParagraph"/>
        <w:numPr>
          <w:ilvl w:val="1"/>
          <w:numId w:val="9"/>
        </w:numPr>
        <w:tabs>
          <w:tab w:pos="266" w:val="left" w:leader="none"/>
        </w:tabs>
        <w:spacing w:line="208" w:lineRule="auto" w:before="120" w:after="0"/>
        <w:ind w:left="120" w:right="2260" w:firstLine="0"/>
        <w:jc w:val="left"/>
        <w:rPr>
          <w:sz w:val="24"/>
        </w:rPr>
      </w:pPr>
      <w:r>
        <w:rPr>
          <w:sz w:val="24"/>
        </w:rPr>
        <w:t>Building</w:t>
      </w:r>
      <w:r>
        <w:rPr>
          <w:spacing w:val="-6"/>
          <w:sz w:val="24"/>
        </w:rPr>
        <w:t> </w:t>
      </w:r>
      <w:r>
        <w:rPr>
          <w:sz w:val="24"/>
        </w:rPr>
        <w:t>integrated</w:t>
      </w:r>
      <w:r>
        <w:rPr>
          <w:spacing w:val="-6"/>
          <w:sz w:val="24"/>
        </w:rPr>
        <w:t> </w:t>
      </w:r>
      <w:r>
        <w:rPr>
          <w:sz w:val="24"/>
        </w:rPr>
        <w:t>digital</w:t>
      </w:r>
      <w:r>
        <w:rPr>
          <w:spacing w:val="-6"/>
          <w:sz w:val="24"/>
        </w:rPr>
        <w:t> </w:t>
      </w:r>
      <w:r>
        <w:rPr>
          <w:sz w:val="24"/>
        </w:rPr>
        <w:t>ecosystems</w:t>
      </w:r>
      <w:r>
        <w:rPr>
          <w:spacing w:val="-6"/>
          <w:sz w:val="24"/>
        </w:rPr>
        <w:t> </w:t>
      </w:r>
      <w:r>
        <w:rPr>
          <w:sz w:val="24"/>
        </w:rPr>
        <w:t>connecting</w:t>
      </w:r>
      <w:r>
        <w:rPr>
          <w:spacing w:val="-6"/>
          <w:sz w:val="24"/>
        </w:rPr>
        <w:t> </w:t>
      </w:r>
      <w:r>
        <w:rPr>
          <w:sz w:val="24"/>
        </w:rPr>
        <w:t>consumers,</w:t>
      </w:r>
      <w:r>
        <w:rPr>
          <w:spacing w:val="-6"/>
          <w:sz w:val="24"/>
        </w:rPr>
        <w:t> </w:t>
      </w:r>
      <w:r>
        <w:rPr>
          <w:sz w:val="24"/>
        </w:rPr>
        <w:t>merchants,</w:t>
      </w:r>
      <w:r>
        <w:rPr>
          <w:spacing w:val="-6"/>
          <w:sz w:val="24"/>
        </w:rPr>
        <w:t> </w:t>
      </w:r>
      <w:r>
        <w:rPr>
          <w:sz w:val="24"/>
        </w:rPr>
        <w:t>and </w:t>
      </w:r>
      <w:r>
        <w:rPr>
          <w:spacing w:val="-2"/>
          <w:sz w:val="24"/>
        </w:rPr>
        <w:t>enterprises</w:t>
      </w:r>
    </w:p>
    <w:p>
      <w:pPr>
        <w:pStyle w:val="ListParagraph"/>
        <w:numPr>
          <w:ilvl w:val="1"/>
          <w:numId w:val="9"/>
        </w:numPr>
        <w:tabs>
          <w:tab w:pos="266" w:val="left" w:leader="none"/>
        </w:tabs>
        <w:spacing w:line="208" w:lineRule="auto" w:before="119" w:after="0"/>
        <w:ind w:left="120" w:right="2273" w:firstLine="0"/>
        <w:jc w:val="left"/>
        <w:rPr>
          <w:sz w:val="24"/>
        </w:rPr>
      </w:pPr>
      <w:r>
        <w:rPr>
          <w:sz w:val="24"/>
        </w:rPr>
        <w:t>Investments</w:t>
      </w:r>
      <w:r>
        <w:rPr>
          <w:spacing w:val="-5"/>
          <w:sz w:val="24"/>
        </w:rPr>
        <w:t> </w:t>
      </w:r>
      <w:r>
        <w:rPr>
          <w:sz w:val="24"/>
        </w:rPr>
        <w:t>in</w:t>
      </w:r>
      <w:r>
        <w:rPr>
          <w:spacing w:val="-5"/>
          <w:sz w:val="24"/>
        </w:rPr>
        <w:t> </w:t>
      </w:r>
      <w:r>
        <w:rPr>
          <w:sz w:val="24"/>
        </w:rPr>
        <w:t>emerging</w:t>
      </w:r>
      <w:r>
        <w:rPr>
          <w:spacing w:val="-5"/>
          <w:sz w:val="24"/>
        </w:rPr>
        <w:t> </w:t>
      </w:r>
      <w:r>
        <w:rPr>
          <w:sz w:val="24"/>
        </w:rPr>
        <w:t>technologies</w:t>
      </w:r>
      <w:r>
        <w:rPr>
          <w:spacing w:val="-5"/>
          <w:sz w:val="24"/>
        </w:rPr>
        <w:t> </w:t>
      </w:r>
      <w:r>
        <w:rPr>
          <w:sz w:val="24"/>
        </w:rPr>
        <w:t>including</w:t>
      </w:r>
      <w:r>
        <w:rPr>
          <w:spacing w:val="-5"/>
          <w:sz w:val="24"/>
        </w:rPr>
        <w:t> </w:t>
      </w:r>
      <w:r>
        <w:rPr>
          <w:sz w:val="24"/>
        </w:rPr>
        <w:t>AI,</w:t>
      </w:r>
      <w:r>
        <w:rPr>
          <w:spacing w:val="-5"/>
          <w:sz w:val="24"/>
        </w:rPr>
        <w:t> </w:t>
      </w:r>
      <w:r>
        <w:rPr>
          <w:sz w:val="24"/>
        </w:rPr>
        <w:t>IoT,</w:t>
      </w:r>
      <w:r>
        <w:rPr>
          <w:spacing w:val="-5"/>
          <w:sz w:val="24"/>
        </w:rPr>
        <w:t> </w:t>
      </w:r>
      <w:r>
        <w:rPr>
          <w:sz w:val="24"/>
        </w:rPr>
        <w:t>blockchain,</w:t>
      </w:r>
      <w:r>
        <w:rPr>
          <w:spacing w:val="-5"/>
          <w:sz w:val="24"/>
        </w:rPr>
        <w:t> </w:t>
      </w:r>
      <w:r>
        <w:rPr>
          <w:sz w:val="24"/>
        </w:rPr>
        <w:t>and</w:t>
      </w:r>
      <w:r>
        <w:rPr>
          <w:spacing w:val="-5"/>
          <w:sz w:val="24"/>
        </w:rPr>
        <w:t> </w:t>
      </w:r>
      <w:r>
        <w:rPr>
          <w:sz w:val="24"/>
        </w:rPr>
        <w:t>cloud </w:t>
      </w:r>
      <w:r>
        <w:rPr>
          <w:spacing w:val="-2"/>
          <w:sz w:val="24"/>
        </w:rPr>
        <w:t>computing</w:t>
      </w:r>
    </w:p>
    <w:p>
      <w:pPr>
        <w:pStyle w:val="BodyText"/>
        <w:spacing w:before="15"/>
      </w:pPr>
    </w:p>
    <w:p>
      <w:pPr>
        <w:pStyle w:val="Heading4"/>
        <w:numPr>
          <w:ilvl w:val="0"/>
          <w:numId w:val="9"/>
        </w:numPr>
        <w:tabs>
          <w:tab w:pos="386" w:val="left" w:leader="none"/>
        </w:tabs>
        <w:spacing w:line="240" w:lineRule="auto" w:before="0" w:after="0"/>
        <w:ind w:left="386" w:right="0" w:hanging="266"/>
        <w:jc w:val="left"/>
      </w:pPr>
      <w:r>
        <w:rPr/>
        <w:t>Consumer-Centric Growth </w:t>
      </w:r>
      <w:r>
        <w:rPr>
          <w:spacing w:val="-2"/>
        </w:rPr>
        <w:t>Strategy</w:t>
      </w:r>
    </w:p>
    <w:p>
      <w:pPr>
        <w:pStyle w:val="ListParagraph"/>
        <w:numPr>
          <w:ilvl w:val="1"/>
          <w:numId w:val="9"/>
        </w:numPr>
        <w:tabs>
          <w:tab w:pos="266" w:val="left" w:leader="none"/>
        </w:tabs>
        <w:spacing w:line="208" w:lineRule="auto" w:before="113" w:after="0"/>
        <w:ind w:left="120" w:right="1967" w:firstLine="0"/>
        <w:jc w:val="left"/>
        <w:rPr>
          <w:sz w:val="24"/>
        </w:rPr>
      </w:pPr>
      <w:r>
        <w:rPr>
          <w:sz w:val="24"/>
        </w:rPr>
        <w:t>Increasing</w:t>
      </w:r>
      <w:r>
        <w:rPr>
          <w:spacing w:val="-5"/>
          <w:sz w:val="24"/>
        </w:rPr>
        <w:t> </w:t>
      </w:r>
      <w:r>
        <w:rPr>
          <w:sz w:val="24"/>
        </w:rPr>
        <w:t>focus</w:t>
      </w:r>
      <w:r>
        <w:rPr>
          <w:spacing w:val="-5"/>
          <w:sz w:val="24"/>
        </w:rPr>
        <w:t> </w:t>
      </w:r>
      <w:r>
        <w:rPr>
          <w:sz w:val="24"/>
        </w:rPr>
        <w:t>on</w:t>
      </w:r>
      <w:r>
        <w:rPr>
          <w:spacing w:val="-5"/>
          <w:sz w:val="24"/>
        </w:rPr>
        <w:t> </w:t>
      </w:r>
      <w:r>
        <w:rPr>
          <w:sz w:val="24"/>
        </w:rPr>
        <w:t>consumer-facing</w:t>
      </w:r>
      <w:r>
        <w:rPr>
          <w:spacing w:val="-5"/>
          <w:sz w:val="24"/>
        </w:rPr>
        <w:t> </w:t>
      </w:r>
      <w:r>
        <w:rPr>
          <w:sz w:val="24"/>
        </w:rPr>
        <w:t>businesses</w:t>
      </w:r>
      <w:r>
        <w:rPr>
          <w:spacing w:val="-5"/>
          <w:sz w:val="24"/>
        </w:rPr>
        <w:t> </w:t>
      </w:r>
      <w:r>
        <w:rPr>
          <w:sz w:val="24"/>
        </w:rPr>
        <w:t>including</w:t>
      </w:r>
      <w:r>
        <w:rPr>
          <w:spacing w:val="-5"/>
          <w:sz w:val="24"/>
        </w:rPr>
        <w:t> </w:t>
      </w:r>
      <w:r>
        <w:rPr>
          <w:sz w:val="24"/>
        </w:rPr>
        <w:t>retail,</w:t>
      </w:r>
      <w:r>
        <w:rPr>
          <w:spacing w:val="-5"/>
          <w:sz w:val="24"/>
        </w:rPr>
        <w:t> </w:t>
      </w:r>
      <w:r>
        <w:rPr>
          <w:sz w:val="24"/>
        </w:rPr>
        <w:t>digital</w:t>
      </w:r>
      <w:r>
        <w:rPr>
          <w:spacing w:val="-5"/>
          <w:sz w:val="24"/>
        </w:rPr>
        <w:t> </w:t>
      </w:r>
      <w:r>
        <w:rPr>
          <w:sz w:val="24"/>
        </w:rPr>
        <w:t>services, and financial services</w:t>
      </w:r>
    </w:p>
    <w:p>
      <w:pPr>
        <w:pStyle w:val="ListParagraph"/>
        <w:numPr>
          <w:ilvl w:val="1"/>
          <w:numId w:val="9"/>
        </w:numPr>
        <w:tabs>
          <w:tab w:pos="266" w:val="left" w:leader="none"/>
        </w:tabs>
        <w:spacing w:line="240" w:lineRule="auto" w:before="91" w:after="0"/>
        <w:ind w:left="266" w:right="0" w:hanging="146"/>
        <w:jc w:val="left"/>
        <w:rPr>
          <w:sz w:val="24"/>
        </w:rPr>
      </w:pPr>
      <w:r>
        <w:rPr>
          <w:sz w:val="24"/>
        </w:rPr>
        <w:t>Expansion of omnichannel retail capabilities and digital commerce </w:t>
      </w:r>
      <w:r>
        <w:rPr>
          <w:spacing w:val="-2"/>
          <w:sz w:val="24"/>
        </w:rPr>
        <w:t>platforms</w:t>
      </w:r>
    </w:p>
    <w:p>
      <w:pPr>
        <w:pStyle w:val="ListParagraph"/>
        <w:numPr>
          <w:ilvl w:val="1"/>
          <w:numId w:val="9"/>
        </w:numPr>
        <w:tabs>
          <w:tab w:pos="266" w:val="left" w:leader="none"/>
        </w:tabs>
        <w:spacing w:line="240" w:lineRule="auto" w:before="84" w:after="0"/>
        <w:ind w:left="266" w:right="0" w:hanging="146"/>
        <w:jc w:val="left"/>
        <w:rPr>
          <w:sz w:val="24"/>
        </w:rPr>
      </w:pPr>
      <w:r>
        <w:rPr>
          <w:sz w:val="24"/>
        </w:rPr>
        <w:t>Development of integrated consumer offerings spanning multiple service </w:t>
      </w:r>
      <w:r>
        <w:rPr>
          <w:spacing w:val="-2"/>
          <w:sz w:val="24"/>
        </w:rPr>
        <w:t>categories</w:t>
      </w:r>
    </w:p>
    <w:p>
      <w:pPr>
        <w:pStyle w:val="BodyText"/>
        <w:spacing w:before="8"/>
      </w:pPr>
    </w:p>
    <w:p>
      <w:pPr>
        <w:pStyle w:val="Heading4"/>
        <w:numPr>
          <w:ilvl w:val="0"/>
          <w:numId w:val="9"/>
        </w:numPr>
        <w:tabs>
          <w:tab w:pos="386" w:val="left" w:leader="none"/>
        </w:tabs>
        <w:spacing w:line="240" w:lineRule="auto" w:before="0" w:after="0"/>
        <w:ind w:left="386" w:right="0" w:hanging="266"/>
        <w:jc w:val="left"/>
      </w:pPr>
      <w:r>
        <w:rPr/>
        <w:t>Global Expansion and Strategic </w:t>
      </w:r>
      <w:r>
        <w:rPr>
          <w:spacing w:val="-2"/>
        </w:rPr>
        <w:t>Partnerships</w:t>
      </w:r>
    </w:p>
    <w:p>
      <w:pPr>
        <w:pStyle w:val="ListParagraph"/>
        <w:numPr>
          <w:ilvl w:val="1"/>
          <w:numId w:val="9"/>
        </w:numPr>
        <w:tabs>
          <w:tab w:pos="266" w:val="left" w:leader="none"/>
        </w:tabs>
        <w:spacing w:line="240" w:lineRule="auto" w:before="84" w:after="0"/>
        <w:ind w:left="266" w:right="0" w:hanging="146"/>
        <w:jc w:val="left"/>
        <w:rPr>
          <w:sz w:val="24"/>
        </w:rPr>
      </w:pPr>
      <w:r>
        <w:rPr>
          <w:sz w:val="24"/>
        </w:rPr>
        <w:t>Selective international expansion in key </w:t>
      </w:r>
      <w:r>
        <w:rPr>
          <w:spacing w:val="-2"/>
          <w:sz w:val="24"/>
        </w:rPr>
        <w:t>markets</w:t>
      </w:r>
    </w:p>
    <w:p>
      <w:pPr>
        <w:pStyle w:val="ListParagraph"/>
        <w:numPr>
          <w:ilvl w:val="1"/>
          <w:numId w:val="9"/>
        </w:numPr>
        <w:tabs>
          <w:tab w:pos="266" w:val="left" w:leader="none"/>
        </w:tabs>
        <w:spacing w:line="208" w:lineRule="auto" w:before="113" w:after="0"/>
        <w:ind w:left="120" w:right="1659" w:firstLine="0"/>
        <w:jc w:val="left"/>
        <w:rPr>
          <w:sz w:val="24"/>
        </w:rPr>
      </w:pPr>
      <w:r>
        <w:rPr>
          <w:sz w:val="24"/>
        </w:rPr>
        <w:t>Strategic</w:t>
      </w:r>
      <w:r>
        <w:rPr>
          <w:spacing w:val="-5"/>
          <w:sz w:val="24"/>
        </w:rPr>
        <w:t> </w:t>
      </w:r>
      <w:r>
        <w:rPr>
          <w:sz w:val="24"/>
        </w:rPr>
        <w:t>partnerships</w:t>
      </w:r>
      <w:r>
        <w:rPr>
          <w:spacing w:val="-5"/>
          <w:sz w:val="24"/>
        </w:rPr>
        <w:t> </w:t>
      </w:r>
      <w:r>
        <w:rPr>
          <w:sz w:val="24"/>
        </w:rPr>
        <w:t>and</w:t>
      </w:r>
      <w:r>
        <w:rPr>
          <w:spacing w:val="-5"/>
          <w:sz w:val="24"/>
        </w:rPr>
        <w:t> </w:t>
      </w:r>
      <w:r>
        <w:rPr>
          <w:sz w:val="24"/>
        </w:rPr>
        <w:t>acquisitions</w:t>
      </w:r>
      <w:r>
        <w:rPr>
          <w:spacing w:val="-5"/>
          <w:sz w:val="24"/>
        </w:rPr>
        <w:t> </w:t>
      </w:r>
      <w:r>
        <w:rPr>
          <w:sz w:val="24"/>
        </w:rPr>
        <w:t>to</w:t>
      </w:r>
      <w:r>
        <w:rPr>
          <w:spacing w:val="-5"/>
          <w:sz w:val="24"/>
        </w:rPr>
        <w:t> </w:t>
      </w:r>
      <w:r>
        <w:rPr>
          <w:sz w:val="24"/>
        </w:rPr>
        <w:t>access</w:t>
      </w:r>
      <w:r>
        <w:rPr>
          <w:spacing w:val="-5"/>
          <w:sz w:val="24"/>
        </w:rPr>
        <w:t> </w:t>
      </w:r>
      <w:r>
        <w:rPr>
          <w:sz w:val="24"/>
        </w:rPr>
        <w:t>technology,</w:t>
      </w:r>
      <w:r>
        <w:rPr>
          <w:spacing w:val="-5"/>
          <w:sz w:val="24"/>
        </w:rPr>
        <w:t> </w:t>
      </w:r>
      <w:r>
        <w:rPr>
          <w:sz w:val="24"/>
        </w:rPr>
        <w:t>expertise,</w:t>
      </w:r>
      <w:r>
        <w:rPr>
          <w:spacing w:val="-5"/>
          <w:sz w:val="24"/>
        </w:rPr>
        <w:t> </w:t>
      </w:r>
      <w:r>
        <w:rPr>
          <w:sz w:val="24"/>
        </w:rPr>
        <w:t>and</w:t>
      </w:r>
      <w:r>
        <w:rPr>
          <w:spacing w:val="-5"/>
          <w:sz w:val="24"/>
        </w:rPr>
        <w:t> </w:t>
      </w:r>
      <w:r>
        <w:rPr>
          <w:sz w:val="24"/>
        </w:rPr>
        <w:t>market </w:t>
      </w:r>
      <w:r>
        <w:rPr>
          <w:spacing w:val="-2"/>
          <w:sz w:val="24"/>
        </w:rPr>
        <w:t>presence</w:t>
      </w:r>
    </w:p>
    <w:p>
      <w:pPr>
        <w:pStyle w:val="ListParagraph"/>
        <w:numPr>
          <w:ilvl w:val="1"/>
          <w:numId w:val="9"/>
        </w:numPr>
        <w:tabs>
          <w:tab w:pos="266" w:val="left" w:leader="none"/>
        </w:tabs>
        <w:spacing w:line="240" w:lineRule="auto" w:before="91" w:after="0"/>
        <w:ind w:left="266" w:right="0" w:hanging="146"/>
        <w:jc w:val="left"/>
        <w:rPr>
          <w:sz w:val="24"/>
        </w:rPr>
      </w:pPr>
      <w:r>
        <w:rPr>
          <w:sz w:val="24"/>
        </w:rPr>
        <w:t>Collaboration with global leaders across business </w:t>
      </w:r>
      <w:r>
        <w:rPr>
          <w:spacing w:val="-2"/>
          <w:sz w:val="24"/>
        </w:rPr>
        <w:t>segments</w:t>
      </w:r>
    </w:p>
    <w:p>
      <w:pPr>
        <w:pStyle w:val="BodyText"/>
        <w:spacing w:before="37"/>
      </w:pPr>
    </w:p>
    <w:p>
      <w:pPr>
        <w:pStyle w:val="BodyText"/>
        <w:spacing w:line="208" w:lineRule="auto" w:before="0"/>
        <w:ind w:left="120" w:right="1633"/>
      </w:pPr>
      <w:r>
        <w:rPr/>
        <w:t>These strategic priorities have significant implications for RIL's working capital management, as the company balances the capital-intensive requirements of its traditional</w:t>
      </w:r>
      <w:r>
        <w:rPr>
          <w:spacing w:val="-4"/>
        </w:rPr>
        <w:t> </w:t>
      </w:r>
      <w:r>
        <w:rPr/>
        <w:t>businesses</w:t>
      </w:r>
      <w:r>
        <w:rPr>
          <w:spacing w:val="-4"/>
        </w:rPr>
        <w:t> </w:t>
      </w:r>
      <w:r>
        <w:rPr/>
        <w:t>with</w:t>
      </w:r>
      <w:r>
        <w:rPr>
          <w:spacing w:val="-4"/>
        </w:rPr>
        <w:t> </w:t>
      </w:r>
      <w:r>
        <w:rPr/>
        <w:t>the</w:t>
      </w:r>
      <w:r>
        <w:rPr>
          <w:spacing w:val="-4"/>
        </w:rPr>
        <w:t> </w:t>
      </w:r>
      <w:r>
        <w:rPr/>
        <w:t>different</w:t>
      </w:r>
      <w:r>
        <w:rPr>
          <w:spacing w:val="-4"/>
        </w:rPr>
        <w:t> </w:t>
      </w:r>
      <w:r>
        <w:rPr/>
        <w:t>working</w:t>
      </w:r>
      <w:r>
        <w:rPr>
          <w:spacing w:val="-4"/>
        </w:rPr>
        <w:t> </w:t>
      </w:r>
      <w:r>
        <w:rPr/>
        <w:t>capital</w:t>
      </w:r>
      <w:r>
        <w:rPr>
          <w:spacing w:val="-4"/>
        </w:rPr>
        <w:t> </w:t>
      </w:r>
      <w:r>
        <w:rPr/>
        <w:t>dynamics</w:t>
      </w:r>
      <w:r>
        <w:rPr>
          <w:spacing w:val="-4"/>
        </w:rPr>
        <w:t> </w:t>
      </w:r>
      <w:r>
        <w:rPr/>
        <w:t>of</w:t>
      </w:r>
      <w:r>
        <w:rPr>
          <w:spacing w:val="-4"/>
        </w:rPr>
        <w:t> </w:t>
      </w:r>
      <w:r>
        <w:rPr/>
        <w:t>its</w:t>
      </w:r>
      <w:r>
        <w:rPr>
          <w:spacing w:val="-4"/>
        </w:rPr>
        <w:t> </w:t>
      </w:r>
      <w:r>
        <w:rPr/>
        <w:t>expanding consumer and digital segments.</w:t>
      </w:r>
    </w:p>
    <w:p>
      <w:pPr>
        <w:pStyle w:val="BodyText"/>
        <w:spacing w:before="262"/>
      </w:pPr>
    </w:p>
    <w:p>
      <w:pPr>
        <w:pStyle w:val="Heading1"/>
        <w:numPr>
          <w:ilvl w:val="0"/>
          <w:numId w:val="3"/>
        </w:numPr>
        <w:tabs>
          <w:tab w:pos="520" w:val="left" w:leader="none"/>
        </w:tabs>
        <w:spacing w:line="240" w:lineRule="auto" w:before="0" w:after="0"/>
        <w:ind w:left="520" w:right="0" w:hanging="400"/>
        <w:jc w:val="left"/>
      </w:pPr>
      <w:r>
        <w:rPr/>
        <w:t>THEORETICAL </w:t>
      </w:r>
      <w:r>
        <w:rPr>
          <w:spacing w:val="-2"/>
        </w:rPr>
        <w:t>FRAMEWORK</w:t>
      </w:r>
    </w:p>
    <w:p>
      <w:pPr>
        <w:pStyle w:val="BodyText"/>
        <w:spacing w:before="89"/>
        <w:rPr>
          <w:rFonts w:ascii="Arial"/>
          <w:b/>
          <w:sz w:val="36"/>
        </w:rPr>
      </w:pPr>
    </w:p>
    <w:p>
      <w:pPr>
        <w:pStyle w:val="Heading2"/>
        <w:numPr>
          <w:ilvl w:val="1"/>
          <w:numId w:val="3"/>
        </w:numPr>
        <w:tabs>
          <w:tab w:pos="653" w:val="left" w:leader="none"/>
        </w:tabs>
        <w:spacing w:line="240" w:lineRule="auto" w:before="0" w:after="0"/>
        <w:ind w:left="653" w:right="0" w:hanging="533"/>
        <w:jc w:val="left"/>
      </w:pPr>
      <w:r>
        <w:rPr/>
        <w:t>Working Capital </w:t>
      </w:r>
      <w:r>
        <w:rPr>
          <w:spacing w:val="-2"/>
        </w:rPr>
        <w:t>Concepts</w:t>
      </w:r>
    </w:p>
    <w:p>
      <w:pPr>
        <w:pStyle w:val="BodyText"/>
        <w:spacing w:before="9"/>
        <w:rPr>
          <w:rFonts w:ascii="Arial"/>
          <w:b/>
          <w:sz w:val="32"/>
        </w:rPr>
      </w:pPr>
    </w:p>
    <w:p>
      <w:pPr>
        <w:pStyle w:val="BodyText"/>
        <w:spacing w:line="208" w:lineRule="auto" w:before="0"/>
        <w:ind w:left="120" w:right="1221"/>
      </w:pPr>
      <w:r>
        <w:rPr/>
        <w:t>Working</w:t>
      </w:r>
      <w:r>
        <w:rPr>
          <w:spacing w:val="-4"/>
        </w:rPr>
        <w:t> </w:t>
      </w:r>
      <w:r>
        <w:rPr/>
        <w:t>capital</w:t>
      </w:r>
      <w:r>
        <w:rPr>
          <w:spacing w:val="-4"/>
        </w:rPr>
        <w:t> </w:t>
      </w:r>
      <w:r>
        <w:rPr/>
        <w:t>represents</w:t>
      </w:r>
      <w:r>
        <w:rPr>
          <w:spacing w:val="-4"/>
        </w:rPr>
        <w:t> </w:t>
      </w:r>
      <w:r>
        <w:rPr/>
        <w:t>the</w:t>
      </w:r>
      <w:r>
        <w:rPr>
          <w:spacing w:val="-4"/>
        </w:rPr>
        <w:t> </w:t>
      </w:r>
      <w:r>
        <w:rPr/>
        <w:t>funds</w:t>
      </w:r>
      <w:r>
        <w:rPr>
          <w:spacing w:val="-4"/>
        </w:rPr>
        <w:t> </w:t>
      </w:r>
      <w:r>
        <w:rPr/>
        <w:t>available</w:t>
      </w:r>
      <w:r>
        <w:rPr>
          <w:spacing w:val="-4"/>
        </w:rPr>
        <w:t> </w:t>
      </w:r>
      <w:r>
        <w:rPr/>
        <w:t>for</w:t>
      </w:r>
      <w:r>
        <w:rPr>
          <w:spacing w:val="-4"/>
        </w:rPr>
        <w:t> </w:t>
      </w:r>
      <w:r>
        <w:rPr/>
        <w:t>day-to-day</w:t>
      </w:r>
      <w:r>
        <w:rPr>
          <w:spacing w:val="-4"/>
        </w:rPr>
        <w:t> </w:t>
      </w:r>
      <w:r>
        <w:rPr/>
        <w:t>operations</w:t>
      </w:r>
      <w:r>
        <w:rPr>
          <w:spacing w:val="-4"/>
        </w:rPr>
        <w:t> </w:t>
      </w:r>
      <w:r>
        <w:rPr/>
        <w:t>of</w:t>
      </w:r>
      <w:r>
        <w:rPr>
          <w:spacing w:val="-4"/>
        </w:rPr>
        <w:t> </w:t>
      </w:r>
      <w:r>
        <w:rPr/>
        <w:t>a</w:t>
      </w:r>
      <w:r>
        <w:rPr>
          <w:spacing w:val="-4"/>
        </w:rPr>
        <w:t> </w:t>
      </w:r>
      <w:r>
        <w:rPr/>
        <w:t>business and is a critical indicator of its short-term financial health and operational efficiency.</w:t>
      </w:r>
    </w:p>
    <w:p>
      <w:pPr>
        <w:pStyle w:val="BodyText"/>
        <w:spacing w:line="208" w:lineRule="auto" w:before="0"/>
        <w:ind w:left="120" w:right="1633"/>
      </w:pPr>
      <w:r>
        <w:rPr/>
        <w:t>This</w:t>
      </w:r>
      <w:r>
        <w:rPr>
          <w:spacing w:val="-4"/>
        </w:rPr>
        <w:t> </w:t>
      </w:r>
      <w:r>
        <w:rPr/>
        <w:t>section</w:t>
      </w:r>
      <w:r>
        <w:rPr>
          <w:spacing w:val="-4"/>
        </w:rPr>
        <w:t> </w:t>
      </w:r>
      <w:r>
        <w:rPr/>
        <w:t>explores</w:t>
      </w:r>
      <w:r>
        <w:rPr>
          <w:spacing w:val="-4"/>
        </w:rPr>
        <w:t> </w:t>
      </w:r>
      <w:r>
        <w:rPr/>
        <w:t>the</w:t>
      </w:r>
      <w:r>
        <w:rPr>
          <w:spacing w:val="-4"/>
        </w:rPr>
        <w:t> </w:t>
      </w:r>
      <w:r>
        <w:rPr/>
        <w:t>fundamental</w:t>
      </w:r>
      <w:r>
        <w:rPr>
          <w:spacing w:val="-4"/>
        </w:rPr>
        <w:t> </w:t>
      </w:r>
      <w:r>
        <w:rPr/>
        <w:t>concepts</w:t>
      </w:r>
      <w:r>
        <w:rPr>
          <w:spacing w:val="-4"/>
        </w:rPr>
        <w:t> </w:t>
      </w:r>
      <w:r>
        <w:rPr/>
        <w:t>of</w:t>
      </w:r>
      <w:r>
        <w:rPr>
          <w:spacing w:val="-4"/>
        </w:rPr>
        <w:t> </w:t>
      </w:r>
      <w:r>
        <w:rPr/>
        <w:t>working</w:t>
      </w:r>
      <w:r>
        <w:rPr>
          <w:spacing w:val="-4"/>
        </w:rPr>
        <w:t> </w:t>
      </w:r>
      <w:r>
        <w:rPr/>
        <w:t>capital</w:t>
      </w:r>
      <w:r>
        <w:rPr>
          <w:spacing w:val="-4"/>
        </w:rPr>
        <w:t> </w:t>
      </w:r>
      <w:r>
        <w:rPr/>
        <w:t>management</w:t>
      </w:r>
      <w:r>
        <w:rPr>
          <w:spacing w:val="-4"/>
        </w:rPr>
        <w:t> </w:t>
      </w:r>
      <w:r>
        <w:rPr/>
        <w:t>that form the theoretical foundation for this study.</w:t>
      </w:r>
    </w:p>
    <w:p>
      <w:pPr>
        <w:pStyle w:val="BodyText"/>
        <w:spacing w:before="56"/>
      </w:pPr>
    </w:p>
    <w:p>
      <w:pPr>
        <w:pStyle w:val="Heading3"/>
        <w:numPr>
          <w:ilvl w:val="2"/>
          <w:numId w:val="3"/>
        </w:numPr>
        <w:tabs>
          <w:tab w:pos="820" w:val="left" w:leader="none"/>
        </w:tabs>
        <w:spacing w:line="240" w:lineRule="auto" w:before="1" w:after="0"/>
        <w:ind w:left="820" w:right="0" w:hanging="700"/>
        <w:jc w:val="left"/>
      </w:pPr>
      <w:r>
        <w:rPr/>
        <w:t>Definition and Components of Working </w:t>
      </w:r>
      <w:r>
        <w:rPr>
          <w:spacing w:val="-2"/>
        </w:rPr>
        <w:t>Capital</w:t>
      </w:r>
    </w:p>
    <w:p>
      <w:pPr>
        <w:pStyle w:val="BodyText"/>
        <w:spacing w:line="208" w:lineRule="auto" w:before="304"/>
        <w:ind w:left="120" w:right="1633"/>
      </w:pPr>
      <w:r>
        <w:rPr/>
        <w:t>Working</w:t>
      </w:r>
      <w:r>
        <w:rPr>
          <w:spacing w:val="-4"/>
        </w:rPr>
        <w:t> </w:t>
      </w:r>
      <w:r>
        <w:rPr/>
        <w:t>capital</w:t>
      </w:r>
      <w:r>
        <w:rPr>
          <w:spacing w:val="-4"/>
        </w:rPr>
        <w:t> </w:t>
      </w:r>
      <w:r>
        <w:rPr/>
        <w:t>refers</w:t>
      </w:r>
      <w:r>
        <w:rPr>
          <w:spacing w:val="-4"/>
        </w:rPr>
        <w:t> </w:t>
      </w:r>
      <w:r>
        <w:rPr/>
        <w:t>to</w:t>
      </w:r>
      <w:r>
        <w:rPr>
          <w:spacing w:val="-4"/>
        </w:rPr>
        <w:t> </w:t>
      </w:r>
      <w:r>
        <w:rPr/>
        <w:t>the</w:t>
      </w:r>
      <w:r>
        <w:rPr>
          <w:spacing w:val="-4"/>
        </w:rPr>
        <w:t> </w:t>
      </w:r>
      <w:r>
        <w:rPr/>
        <w:t>difference</w:t>
      </w:r>
      <w:r>
        <w:rPr>
          <w:spacing w:val="-4"/>
        </w:rPr>
        <w:t> </w:t>
      </w:r>
      <w:r>
        <w:rPr/>
        <w:t>between</w:t>
      </w:r>
      <w:r>
        <w:rPr>
          <w:spacing w:val="-4"/>
        </w:rPr>
        <w:t> </w:t>
      </w:r>
      <w:r>
        <w:rPr/>
        <w:t>current</w:t>
      </w:r>
      <w:r>
        <w:rPr>
          <w:spacing w:val="-4"/>
        </w:rPr>
        <w:t> </w:t>
      </w:r>
      <w:r>
        <w:rPr/>
        <w:t>assets</w:t>
      </w:r>
      <w:r>
        <w:rPr>
          <w:spacing w:val="-4"/>
        </w:rPr>
        <w:t> </w:t>
      </w:r>
      <w:r>
        <w:rPr/>
        <w:t>and</w:t>
      </w:r>
      <w:r>
        <w:rPr>
          <w:spacing w:val="-4"/>
        </w:rPr>
        <w:t> </w:t>
      </w:r>
      <w:r>
        <w:rPr/>
        <w:t>current</w:t>
      </w:r>
      <w:r>
        <w:rPr>
          <w:spacing w:val="-4"/>
        </w:rPr>
        <w:t> </w:t>
      </w:r>
      <w:r>
        <w:rPr/>
        <w:t>liabilities, representing the capital available for conducting daily business operations. It can be conceptualized in two primary ways:</w:t>
      </w:r>
    </w:p>
    <w:p>
      <w:pPr>
        <w:pStyle w:val="BodyText"/>
        <w:spacing w:after="0" w:line="208" w:lineRule="auto"/>
        <w:sectPr>
          <w:pgSz w:w="12240" w:h="15840"/>
          <w:pgMar w:top="1740" w:bottom="280" w:left="1440" w:right="0"/>
        </w:sectPr>
      </w:pPr>
    </w:p>
    <w:p>
      <w:pPr>
        <w:spacing w:line="208" w:lineRule="auto" w:before="104"/>
        <w:ind w:left="120" w:right="1633" w:firstLine="0"/>
        <w:jc w:val="left"/>
        <w:rPr>
          <w:sz w:val="24"/>
        </w:rPr>
      </w:pPr>
      <w:r>
        <w:rPr>
          <w:rFonts w:ascii="Arial"/>
          <w:b/>
          <w:sz w:val="24"/>
        </w:rPr>
        <w:t>Gross</w:t>
      </w:r>
      <w:r>
        <w:rPr>
          <w:rFonts w:ascii="Arial"/>
          <w:b/>
          <w:spacing w:val="-4"/>
          <w:sz w:val="24"/>
        </w:rPr>
        <w:t> </w:t>
      </w:r>
      <w:r>
        <w:rPr>
          <w:rFonts w:ascii="Arial"/>
          <w:b/>
          <w:sz w:val="24"/>
        </w:rPr>
        <w:t>Working</w:t>
      </w:r>
      <w:r>
        <w:rPr>
          <w:rFonts w:ascii="Arial"/>
          <w:b/>
          <w:spacing w:val="-4"/>
          <w:sz w:val="24"/>
        </w:rPr>
        <w:t> </w:t>
      </w:r>
      <w:r>
        <w:rPr>
          <w:rFonts w:ascii="Arial"/>
          <w:b/>
          <w:sz w:val="24"/>
        </w:rPr>
        <w:t>Capital:</w:t>
      </w:r>
      <w:r>
        <w:rPr>
          <w:rFonts w:ascii="Arial"/>
          <w:b/>
          <w:spacing w:val="-4"/>
          <w:sz w:val="24"/>
        </w:rPr>
        <w:t> </w:t>
      </w:r>
      <w:r>
        <w:rPr>
          <w:sz w:val="24"/>
        </w:rPr>
        <w:t>Refers</w:t>
      </w:r>
      <w:r>
        <w:rPr>
          <w:spacing w:val="-4"/>
          <w:sz w:val="24"/>
        </w:rPr>
        <w:t> </w:t>
      </w:r>
      <w:r>
        <w:rPr>
          <w:sz w:val="24"/>
        </w:rPr>
        <w:t>to</w:t>
      </w:r>
      <w:r>
        <w:rPr>
          <w:spacing w:val="-4"/>
          <w:sz w:val="24"/>
        </w:rPr>
        <w:t> </w:t>
      </w:r>
      <w:r>
        <w:rPr>
          <w:sz w:val="24"/>
        </w:rPr>
        <w:t>the</w:t>
      </w:r>
      <w:r>
        <w:rPr>
          <w:spacing w:val="-4"/>
          <w:sz w:val="24"/>
        </w:rPr>
        <w:t> </w:t>
      </w:r>
      <w:r>
        <w:rPr>
          <w:sz w:val="24"/>
        </w:rPr>
        <w:t>total</w:t>
      </w:r>
      <w:r>
        <w:rPr>
          <w:spacing w:val="-4"/>
          <w:sz w:val="24"/>
        </w:rPr>
        <w:t> </w:t>
      </w:r>
      <w:r>
        <w:rPr>
          <w:sz w:val="24"/>
        </w:rPr>
        <w:t>current</w:t>
      </w:r>
      <w:r>
        <w:rPr>
          <w:spacing w:val="-4"/>
          <w:sz w:val="24"/>
        </w:rPr>
        <w:t> </w:t>
      </w:r>
      <w:r>
        <w:rPr>
          <w:sz w:val="24"/>
        </w:rPr>
        <w:t>assets</w:t>
      </w:r>
      <w:r>
        <w:rPr>
          <w:spacing w:val="-4"/>
          <w:sz w:val="24"/>
        </w:rPr>
        <w:t> </w:t>
      </w:r>
      <w:r>
        <w:rPr>
          <w:sz w:val="24"/>
        </w:rPr>
        <w:t>of</w:t>
      </w:r>
      <w:r>
        <w:rPr>
          <w:spacing w:val="-4"/>
          <w:sz w:val="24"/>
        </w:rPr>
        <w:t> </w:t>
      </w:r>
      <w:r>
        <w:rPr>
          <w:sz w:val="24"/>
        </w:rPr>
        <w:t>a</w:t>
      </w:r>
      <w:r>
        <w:rPr>
          <w:spacing w:val="-4"/>
          <w:sz w:val="24"/>
        </w:rPr>
        <w:t> </w:t>
      </w:r>
      <w:r>
        <w:rPr>
          <w:sz w:val="24"/>
        </w:rPr>
        <w:t>company,</w:t>
      </w:r>
      <w:r>
        <w:rPr>
          <w:spacing w:val="-4"/>
          <w:sz w:val="24"/>
        </w:rPr>
        <w:t> </w:t>
      </w:r>
      <w:r>
        <w:rPr>
          <w:sz w:val="24"/>
        </w:rPr>
        <w:t>which </w:t>
      </w:r>
      <w:r>
        <w:rPr>
          <w:spacing w:val="-2"/>
          <w:sz w:val="24"/>
        </w:rPr>
        <w:t>include:</w:t>
      </w:r>
    </w:p>
    <w:p>
      <w:pPr>
        <w:pStyle w:val="ListParagraph"/>
        <w:numPr>
          <w:ilvl w:val="3"/>
          <w:numId w:val="3"/>
        </w:numPr>
        <w:tabs>
          <w:tab w:pos="266" w:val="left" w:leader="none"/>
        </w:tabs>
        <w:spacing w:line="240" w:lineRule="auto" w:before="90" w:after="0"/>
        <w:ind w:left="266" w:right="0" w:hanging="146"/>
        <w:jc w:val="left"/>
        <w:rPr>
          <w:sz w:val="24"/>
        </w:rPr>
      </w:pPr>
      <w:r>
        <w:rPr>
          <w:sz w:val="24"/>
        </w:rPr>
        <w:t>Cash and cash </w:t>
      </w:r>
      <w:r>
        <w:rPr>
          <w:spacing w:val="-2"/>
          <w:sz w:val="24"/>
        </w:rPr>
        <w:t>equivalents</w:t>
      </w:r>
    </w:p>
    <w:p>
      <w:pPr>
        <w:pStyle w:val="ListParagraph"/>
        <w:numPr>
          <w:ilvl w:val="3"/>
          <w:numId w:val="3"/>
        </w:numPr>
        <w:tabs>
          <w:tab w:pos="266" w:val="left" w:leader="none"/>
        </w:tabs>
        <w:spacing w:line="240" w:lineRule="auto" w:before="84" w:after="0"/>
        <w:ind w:left="266" w:right="0" w:hanging="146"/>
        <w:jc w:val="left"/>
        <w:rPr>
          <w:sz w:val="24"/>
        </w:rPr>
      </w:pPr>
      <w:r>
        <w:rPr>
          <w:sz w:val="24"/>
        </w:rPr>
        <w:t>Short-term </w:t>
      </w:r>
      <w:r>
        <w:rPr>
          <w:spacing w:val="-2"/>
          <w:sz w:val="24"/>
        </w:rPr>
        <w:t>investments</w:t>
      </w:r>
    </w:p>
    <w:p>
      <w:pPr>
        <w:pStyle w:val="ListParagraph"/>
        <w:numPr>
          <w:ilvl w:val="3"/>
          <w:numId w:val="3"/>
        </w:numPr>
        <w:tabs>
          <w:tab w:pos="266" w:val="left" w:leader="none"/>
        </w:tabs>
        <w:spacing w:line="240" w:lineRule="auto" w:before="84" w:after="0"/>
        <w:ind w:left="266" w:right="0" w:hanging="146"/>
        <w:jc w:val="left"/>
        <w:rPr>
          <w:sz w:val="24"/>
        </w:rPr>
      </w:pPr>
      <w:r>
        <w:rPr>
          <w:sz w:val="24"/>
        </w:rPr>
        <w:t>Accounts </w:t>
      </w:r>
      <w:r>
        <w:rPr>
          <w:spacing w:val="-2"/>
          <w:sz w:val="24"/>
        </w:rPr>
        <w:t>receivable</w:t>
      </w:r>
    </w:p>
    <w:p>
      <w:pPr>
        <w:pStyle w:val="ListParagraph"/>
        <w:numPr>
          <w:ilvl w:val="3"/>
          <w:numId w:val="3"/>
        </w:numPr>
        <w:tabs>
          <w:tab w:pos="266" w:val="left" w:leader="none"/>
        </w:tabs>
        <w:spacing w:line="240" w:lineRule="auto" w:before="84" w:after="0"/>
        <w:ind w:left="266" w:right="0" w:hanging="146"/>
        <w:jc w:val="left"/>
        <w:rPr>
          <w:sz w:val="24"/>
        </w:rPr>
      </w:pPr>
      <w:r>
        <w:rPr>
          <w:spacing w:val="-2"/>
          <w:sz w:val="24"/>
        </w:rPr>
        <w:t>Inventory</w:t>
      </w:r>
    </w:p>
    <w:p>
      <w:pPr>
        <w:pStyle w:val="ListParagraph"/>
        <w:numPr>
          <w:ilvl w:val="3"/>
          <w:numId w:val="3"/>
        </w:numPr>
        <w:tabs>
          <w:tab w:pos="266" w:val="left" w:leader="none"/>
        </w:tabs>
        <w:spacing w:line="240" w:lineRule="auto" w:before="84" w:after="0"/>
        <w:ind w:left="266" w:right="0" w:hanging="146"/>
        <w:jc w:val="left"/>
        <w:rPr>
          <w:sz w:val="24"/>
        </w:rPr>
      </w:pPr>
      <w:r>
        <w:rPr>
          <w:sz w:val="24"/>
        </w:rPr>
        <w:t>Other current assets (prepaid expenses, advances, </w:t>
      </w:r>
      <w:r>
        <w:rPr>
          <w:spacing w:val="-2"/>
          <w:sz w:val="24"/>
        </w:rPr>
        <w:t>etc.)</w:t>
      </w:r>
    </w:p>
    <w:p>
      <w:pPr>
        <w:pStyle w:val="BodyText"/>
        <w:spacing w:before="38"/>
      </w:pPr>
    </w:p>
    <w:p>
      <w:pPr>
        <w:pStyle w:val="BodyText"/>
        <w:spacing w:line="208" w:lineRule="auto" w:before="0"/>
        <w:ind w:left="120" w:right="1633"/>
      </w:pPr>
      <w:r>
        <w:rPr>
          <w:rFonts w:ascii="Arial"/>
          <w:b/>
        </w:rPr>
        <w:t>Net</w:t>
      </w:r>
      <w:r>
        <w:rPr>
          <w:rFonts w:ascii="Arial"/>
          <w:b/>
          <w:spacing w:val="-4"/>
        </w:rPr>
        <w:t> </w:t>
      </w:r>
      <w:r>
        <w:rPr>
          <w:rFonts w:ascii="Arial"/>
          <w:b/>
        </w:rPr>
        <w:t>Working</w:t>
      </w:r>
      <w:r>
        <w:rPr>
          <w:rFonts w:ascii="Arial"/>
          <w:b/>
          <w:spacing w:val="-4"/>
        </w:rPr>
        <w:t> </w:t>
      </w:r>
      <w:r>
        <w:rPr>
          <w:rFonts w:ascii="Arial"/>
          <w:b/>
        </w:rPr>
        <w:t>Capital:</w:t>
      </w:r>
      <w:r>
        <w:rPr>
          <w:rFonts w:ascii="Arial"/>
          <w:b/>
          <w:spacing w:val="-4"/>
        </w:rPr>
        <w:t> </w:t>
      </w:r>
      <w:r>
        <w:rPr/>
        <w:t>Represents</w:t>
      </w:r>
      <w:r>
        <w:rPr>
          <w:spacing w:val="-4"/>
        </w:rPr>
        <w:t> </w:t>
      </w:r>
      <w:r>
        <w:rPr/>
        <w:t>the</w:t>
      </w:r>
      <w:r>
        <w:rPr>
          <w:spacing w:val="-4"/>
        </w:rPr>
        <w:t> </w:t>
      </w:r>
      <w:r>
        <w:rPr/>
        <w:t>difference</w:t>
      </w:r>
      <w:r>
        <w:rPr>
          <w:spacing w:val="-4"/>
        </w:rPr>
        <w:t> </w:t>
      </w:r>
      <w:r>
        <w:rPr/>
        <w:t>between</w:t>
      </w:r>
      <w:r>
        <w:rPr>
          <w:spacing w:val="-4"/>
        </w:rPr>
        <w:t> </w:t>
      </w:r>
      <w:r>
        <w:rPr/>
        <w:t>current</w:t>
      </w:r>
      <w:r>
        <w:rPr>
          <w:spacing w:val="-4"/>
        </w:rPr>
        <w:t> </w:t>
      </w:r>
      <w:r>
        <w:rPr/>
        <w:t>assets</w:t>
      </w:r>
      <w:r>
        <w:rPr>
          <w:spacing w:val="-4"/>
        </w:rPr>
        <w:t> </w:t>
      </w:r>
      <w:r>
        <w:rPr/>
        <w:t>and</w:t>
      </w:r>
      <w:r>
        <w:rPr>
          <w:spacing w:val="-4"/>
        </w:rPr>
        <w:t> </w:t>
      </w:r>
      <w:r>
        <w:rPr/>
        <w:t>current liabilities, calculated as:</w:t>
      </w:r>
    </w:p>
    <w:p>
      <w:pPr>
        <w:pStyle w:val="BodyText"/>
        <w:spacing w:before="90"/>
        <w:ind w:left="120"/>
      </w:pPr>
      <w:r>
        <w:rPr/>
        <w:t>Net Working Capital = Current Assets - Current </w:t>
      </w:r>
      <w:r>
        <w:rPr>
          <w:spacing w:val="-2"/>
        </w:rPr>
        <w:t>Liabilities</w:t>
      </w:r>
    </w:p>
    <w:p>
      <w:pPr>
        <w:pStyle w:val="BodyText"/>
        <w:spacing w:before="8"/>
      </w:pPr>
    </w:p>
    <w:p>
      <w:pPr>
        <w:pStyle w:val="BodyText"/>
        <w:spacing w:before="0"/>
        <w:ind w:left="120"/>
      </w:pPr>
      <w:r>
        <w:rPr/>
        <w:t>Current liabilities typically </w:t>
      </w:r>
      <w:r>
        <w:rPr>
          <w:spacing w:val="-2"/>
        </w:rPr>
        <w:t>include:</w:t>
      </w:r>
    </w:p>
    <w:p>
      <w:pPr>
        <w:pStyle w:val="ListParagraph"/>
        <w:numPr>
          <w:ilvl w:val="3"/>
          <w:numId w:val="3"/>
        </w:numPr>
        <w:tabs>
          <w:tab w:pos="266" w:val="left" w:leader="none"/>
        </w:tabs>
        <w:spacing w:line="240" w:lineRule="auto" w:before="84" w:after="0"/>
        <w:ind w:left="266" w:right="0" w:hanging="146"/>
        <w:jc w:val="left"/>
        <w:rPr>
          <w:sz w:val="24"/>
        </w:rPr>
      </w:pPr>
      <w:r>
        <w:rPr>
          <w:sz w:val="24"/>
        </w:rPr>
        <w:t>Short-term </w:t>
      </w:r>
      <w:r>
        <w:rPr>
          <w:spacing w:val="-2"/>
          <w:sz w:val="24"/>
        </w:rPr>
        <w:t>borrowings</w:t>
      </w:r>
    </w:p>
    <w:p>
      <w:pPr>
        <w:pStyle w:val="ListParagraph"/>
        <w:numPr>
          <w:ilvl w:val="3"/>
          <w:numId w:val="3"/>
        </w:numPr>
        <w:tabs>
          <w:tab w:pos="266" w:val="left" w:leader="none"/>
        </w:tabs>
        <w:spacing w:line="240" w:lineRule="auto" w:before="84" w:after="0"/>
        <w:ind w:left="266" w:right="0" w:hanging="146"/>
        <w:jc w:val="left"/>
        <w:rPr>
          <w:sz w:val="24"/>
        </w:rPr>
      </w:pPr>
      <w:r>
        <w:rPr>
          <w:sz w:val="24"/>
        </w:rPr>
        <w:t>Accounts </w:t>
      </w:r>
      <w:r>
        <w:rPr>
          <w:spacing w:val="-2"/>
          <w:sz w:val="24"/>
        </w:rPr>
        <w:t>payable</w:t>
      </w:r>
    </w:p>
    <w:p>
      <w:pPr>
        <w:pStyle w:val="ListParagraph"/>
        <w:numPr>
          <w:ilvl w:val="3"/>
          <w:numId w:val="3"/>
        </w:numPr>
        <w:tabs>
          <w:tab w:pos="266" w:val="left" w:leader="none"/>
        </w:tabs>
        <w:spacing w:line="240" w:lineRule="auto" w:before="84" w:after="0"/>
        <w:ind w:left="266" w:right="0" w:hanging="146"/>
        <w:jc w:val="left"/>
        <w:rPr>
          <w:sz w:val="24"/>
        </w:rPr>
      </w:pPr>
      <w:r>
        <w:rPr>
          <w:sz w:val="24"/>
        </w:rPr>
        <w:t>Accrued </w:t>
      </w:r>
      <w:r>
        <w:rPr>
          <w:spacing w:val="-2"/>
          <w:sz w:val="24"/>
        </w:rPr>
        <w:t>expenses</w:t>
      </w:r>
    </w:p>
    <w:p>
      <w:pPr>
        <w:pStyle w:val="ListParagraph"/>
        <w:numPr>
          <w:ilvl w:val="3"/>
          <w:numId w:val="3"/>
        </w:numPr>
        <w:tabs>
          <w:tab w:pos="266" w:val="left" w:leader="none"/>
        </w:tabs>
        <w:spacing w:line="240" w:lineRule="auto" w:before="84" w:after="0"/>
        <w:ind w:left="266" w:right="0" w:hanging="146"/>
        <w:jc w:val="left"/>
        <w:rPr>
          <w:sz w:val="24"/>
        </w:rPr>
      </w:pPr>
      <w:r>
        <w:rPr>
          <w:sz w:val="24"/>
        </w:rPr>
        <w:t>Current portion of long-term </w:t>
      </w:r>
      <w:r>
        <w:rPr>
          <w:spacing w:val="-4"/>
          <w:sz w:val="24"/>
        </w:rPr>
        <w:t>debt</w:t>
      </w:r>
    </w:p>
    <w:p>
      <w:pPr>
        <w:pStyle w:val="ListParagraph"/>
        <w:numPr>
          <w:ilvl w:val="3"/>
          <w:numId w:val="3"/>
        </w:numPr>
        <w:tabs>
          <w:tab w:pos="266" w:val="left" w:leader="none"/>
        </w:tabs>
        <w:spacing w:line="240" w:lineRule="auto" w:before="84" w:after="0"/>
        <w:ind w:left="266" w:right="0" w:hanging="146"/>
        <w:jc w:val="left"/>
        <w:rPr>
          <w:sz w:val="24"/>
        </w:rPr>
      </w:pPr>
      <w:r>
        <w:rPr>
          <w:sz w:val="24"/>
        </w:rPr>
        <w:t>Other current </w:t>
      </w:r>
      <w:r>
        <w:rPr>
          <w:spacing w:val="-2"/>
          <w:sz w:val="24"/>
        </w:rPr>
        <w:t>liabilities</w:t>
      </w:r>
    </w:p>
    <w:p>
      <w:pPr>
        <w:pStyle w:val="BodyText"/>
        <w:spacing w:before="38"/>
      </w:pPr>
    </w:p>
    <w:p>
      <w:pPr>
        <w:pStyle w:val="BodyText"/>
        <w:spacing w:line="208" w:lineRule="auto" w:before="0"/>
        <w:ind w:left="120" w:right="1633"/>
      </w:pPr>
      <w:r>
        <w:rPr/>
        <w:t>Table</w:t>
      </w:r>
      <w:r>
        <w:rPr>
          <w:spacing w:val="-4"/>
        </w:rPr>
        <w:t> </w:t>
      </w:r>
      <w:r>
        <w:rPr/>
        <w:t>3.1</w:t>
      </w:r>
      <w:r>
        <w:rPr>
          <w:spacing w:val="-4"/>
        </w:rPr>
        <w:t> </w:t>
      </w:r>
      <w:r>
        <w:rPr/>
        <w:t>illustrates</w:t>
      </w:r>
      <w:r>
        <w:rPr>
          <w:spacing w:val="-4"/>
        </w:rPr>
        <w:t> </w:t>
      </w:r>
      <w:r>
        <w:rPr/>
        <w:t>the</w:t>
      </w:r>
      <w:r>
        <w:rPr>
          <w:spacing w:val="-4"/>
        </w:rPr>
        <w:t> </w:t>
      </w:r>
      <w:r>
        <w:rPr/>
        <w:t>components</w:t>
      </w:r>
      <w:r>
        <w:rPr>
          <w:spacing w:val="-4"/>
        </w:rPr>
        <w:t> </w:t>
      </w:r>
      <w:r>
        <w:rPr/>
        <w:t>of</w:t>
      </w:r>
      <w:r>
        <w:rPr>
          <w:spacing w:val="-4"/>
        </w:rPr>
        <w:t> </w:t>
      </w:r>
      <w:r>
        <w:rPr/>
        <w:t>working</w:t>
      </w:r>
      <w:r>
        <w:rPr>
          <w:spacing w:val="-4"/>
        </w:rPr>
        <w:t> </w:t>
      </w:r>
      <w:r>
        <w:rPr/>
        <w:t>capital</w:t>
      </w:r>
      <w:r>
        <w:rPr>
          <w:spacing w:val="-4"/>
        </w:rPr>
        <w:t> </w:t>
      </w:r>
      <w:r>
        <w:rPr/>
        <w:t>with</w:t>
      </w:r>
      <w:r>
        <w:rPr>
          <w:spacing w:val="-4"/>
        </w:rPr>
        <w:t> </w:t>
      </w:r>
      <w:r>
        <w:rPr/>
        <w:t>examples</w:t>
      </w:r>
      <w:r>
        <w:rPr>
          <w:spacing w:val="-4"/>
        </w:rPr>
        <w:t> </w:t>
      </w:r>
      <w:r>
        <w:rPr/>
        <w:t>from</w:t>
      </w:r>
      <w:r>
        <w:rPr>
          <w:spacing w:val="-4"/>
        </w:rPr>
        <w:t> </w:t>
      </w:r>
      <w:r>
        <w:rPr/>
        <w:t>RIL's balance sheet:</w:t>
      </w:r>
    </w:p>
    <w:p>
      <w:pPr>
        <w:pStyle w:val="BodyText"/>
        <w:spacing w:before="14"/>
      </w:pPr>
    </w:p>
    <w:p>
      <w:pPr>
        <w:pStyle w:val="Heading4"/>
      </w:pPr>
      <w:r>
        <w:rPr/>
        <w:t>Table 3.1: Working Capital Components in RIL's Balance Sheet (FY2024-</w:t>
      </w:r>
      <w:r>
        <w:rPr>
          <w:spacing w:val="-5"/>
        </w:rPr>
        <w:t>25)</w:t>
      </w:r>
    </w:p>
    <w:p>
      <w:pPr>
        <w:pStyle w:val="BodyText"/>
        <w:spacing w:before="6" w:after="1"/>
        <w:rPr>
          <w:rFonts w:ascii="Arial"/>
          <w:b/>
          <w:sz w:val="12"/>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8"/>
        <w:gridCol w:w="2137"/>
        <w:gridCol w:w="1985"/>
      </w:tblGrid>
      <w:tr>
        <w:trPr>
          <w:trHeight w:val="350" w:hRule="atLeast"/>
        </w:trPr>
        <w:tc>
          <w:tcPr>
            <w:tcW w:w="2708" w:type="dxa"/>
            <w:shd w:val="clear" w:color="auto" w:fill="D3D3D3"/>
          </w:tcPr>
          <w:p>
            <w:pPr>
              <w:pStyle w:val="TableParagraph"/>
              <w:ind w:left="836"/>
              <w:rPr>
                <w:sz w:val="20"/>
              </w:rPr>
            </w:pPr>
            <w:r>
              <w:rPr>
                <w:spacing w:val="-2"/>
                <w:sz w:val="20"/>
              </w:rPr>
              <w:t>Component</w:t>
            </w:r>
          </w:p>
        </w:tc>
        <w:tc>
          <w:tcPr>
            <w:tcW w:w="2137" w:type="dxa"/>
            <w:shd w:val="clear" w:color="auto" w:fill="D3D3D3"/>
          </w:tcPr>
          <w:p>
            <w:pPr>
              <w:pStyle w:val="TableParagraph"/>
              <w:spacing w:before="55"/>
              <w:ind w:left="119"/>
              <w:rPr>
                <w:sz w:val="20"/>
              </w:rPr>
            </w:pPr>
            <w:r>
              <w:rPr>
                <w:sz w:val="20"/>
              </w:rPr>
              <w:t>Amount (</w:t>
            </w:r>
            <w:r>
              <w:rPr>
                <w:rFonts w:ascii="MS Gothic" w:hAnsi="MS Gothic"/>
                <w:sz w:val="20"/>
              </w:rPr>
              <w:t>■</w:t>
            </w:r>
            <w:r>
              <w:rPr>
                <w:rFonts w:ascii="Times New Roman" w:hAnsi="Times New Roman"/>
                <w:spacing w:val="5"/>
                <w:sz w:val="20"/>
              </w:rPr>
              <w:t> </w:t>
            </w:r>
            <w:r>
              <w:rPr>
                <w:sz w:val="20"/>
              </w:rPr>
              <w:t>in </w:t>
            </w:r>
            <w:r>
              <w:rPr>
                <w:spacing w:val="-2"/>
                <w:sz w:val="20"/>
              </w:rPr>
              <w:t>Crores)</w:t>
            </w:r>
          </w:p>
        </w:tc>
        <w:tc>
          <w:tcPr>
            <w:tcW w:w="1985" w:type="dxa"/>
            <w:shd w:val="clear" w:color="auto" w:fill="D3D3D3"/>
          </w:tcPr>
          <w:p>
            <w:pPr>
              <w:pStyle w:val="TableParagraph"/>
              <w:ind w:left="119"/>
              <w:rPr>
                <w:sz w:val="20"/>
              </w:rPr>
            </w:pPr>
            <w:r>
              <w:rPr>
                <w:sz w:val="20"/>
              </w:rPr>
              <w:t>Percentage of </w:t>
            </w:r>
            <w:r>
              <w:rPr>
                <w:spacing w:val="-2"/>
                <w:sz w:val="20"/>
              </w:rPr>
              <w:t>Total</w:t>
            </w:r>
          </w:p>
        </w:tc>
      </w:tr>
      <w:tr>
        <w:trPr>
          <w:trHeight w:val="350" w:hRule="atLeast"/>
        </w:trPr>
        <w:tc>
          <w:tcPr>
            <w:tcW w:w="2708" w:type="dxa"/>
          </w:tcPr>
          <w:p>
            <w:pPr>
              <w:pStyle w:val="TableParagraph"/>
              <w:rPr>
                <w:sz w:val="20"/>
              </w:rPr>
            </w:pPr>
            <w:r>
              <w:rPr>
                <w:sz w:val="20"/>
              </w:rPr>
              <w:t>**Current </w:t>
            </w:r>
            <w:r>
              <w:rPr>
                <w:spacing w:val="-2"/>
                <w:sz w:val="20"/>
              </w:rPr>
              <w:t>Assets**</w:t>
            </w:r>
          </w:p>
        </w:tc>
        <w:tc>
          <w:tcPr>
            <w:tcW w:w="2137" w:type="dxa"/>
          </w:tcPr>
          <w:p>
            <w:pPr>
              <w:pStyle w:val="TableParagraph"/>
              <w:spacing w:before="0"/>
              <w:ind w:left="0"/>
              <w:rPr>
                <w:rFonts w:ascii="Times New Roman"/>
                <w:sz w:val="22"/>
              </w:rPr>
            </w:pPr>
          </w:p>
        </w:tc>
        <w:tc>
          <w:tcPr>
            <w:tcW w:w="1985" w:type="dxa"/>
          </w:tcPr>
          <w:p>
            <w:pPr>
              <w:pStyle w:val="TableParagraph"/>
              <w:spacing w:before="0"/>
              <w:ind w:left="0"/>
              <w:rPr>
                <w:rFonts w:ascii="Times New Roman"/>
                <w:sz w:val="22"/>
              </w:rPr>
            </w:pPr>
          </w:p>
        </w:tc>
      </w:tr>
      <w:tr>
        <w:trPr>
          <w:trHeight w:val="350" w:hRule="atLeast"/>
        </w:trPr>
        <w:tc>
          <w:tcPr>
            <w:tcW w:w="2708" w:type="dxa"/>
          </w:tcPr>
          <w:p>
            <w:pPr>
              <w:pStyle w:val="TableParagraph"/>
              <w:rPr>
                <w:sz w:val="20"/>
              </w:rPr>
            </w:pPr>
            <w:r>
              <w:rPr>
                <w:sz w:val="20"/>
              </w:rPr>
              <w:t>Cash and Cash </w:t>
            </w:r>
            <w:r>
              <w:rPr>
                <w:spacing w:val="-2"/>
                <w:sz w:val="20"/>
              </w:rPr>
              <w:t>Equivalents</w:t>
            </w:r>
          </w:p>
        </w:tc>
        <w:tc>
          <w:tcPr>
            <w:tcW w:w="2137" w:type="dxa"/>
          </w:tcPr>
          <w:p>
            <w:pPr>
              <w:pStyle w:val="TableParagraph"/>
              <w:ind w:left="119"/>
              <w:rPr>
                <w:sz w:val="20"/>
              </w:rPr>
            </w:pPr>
            <w:r>
              <w:rPr>
                <w:spacing w:val="-2"/>
                <w:sz w:val="20"/>
              </w:rPr>
              <w:t>36,785</w:t>
            </w:r>
          </w:p>
        </w:tc>
        <w:tc>
          <w:tcPr>
            <w:tcW w:w="1985" w:type="dxa"/>
          </w:tcPr>
          <w:p>
            <w:pPr>
              <w:pStyle w:val="TableParagraph"/>
              <w:ind w:left="119"/>
              <w:rPr>
                <w:sz w:val="20"/>
              </w:rPr>
            </w:pPr>
            <w:r>
              <w:rPr>
                <w:spacing w:val="-2"/>
                <w:sz w:val="20"/>
              </w:rPr>
              <w:t>12.8%</w:t>
            </w:r>
          </w:p>
        </w:tc>
      </w:tr>
      <w:tr>
        <w:trPr>
          <w:trHeight w:val="350" w:hRule="atLeast"/>
        </w:trPr>
        <w:tc>
          <w:tcPr>
            <w:tcW w:w="2708" w:type="dxa"/>
          </w:tcPr>
          <w:p>
            <w:pPr>
              <w:pStyle w:val="TableParagraph"/>
              <w:rPr>
                <w:sz w:val="20"/>
              </w:rPr>
            </w:pPr>
            <w:r>
              <w:rPr>
                <w:sz w:val="20"/>
              </w:rPr>
              <w:t>Short-term </w:t>
            </w:r>
            <w:r>
              <w:rPr>
                <w:spacing w:val="-2"/>
                <w:sz w:val="20"/>
              </w:rPr>
              <w:t>Investments</w:t>
            </w:r>
          </w:p>
        </w:tc>
        <w:tc>
          <w:tcPr>
            <w:tcW w:w="2137" w:type="dxa"/>
          </w:tcPr>
          <w:p>
            <w:pPr>
              <w:pStyle w:val="TableParagraph"/>
              <w:ind w:left="119"/>
              <w:rPr>
                <w:sz w:val="20"/>
              </w:rPr>
            </w:pPr>
            <w:r>
              <w:rPr>
                <w:spacing w:val="-2"/>
                <w:sz w:val="20"/>
              </w:rPr>
              <w:t>155,642</w:t>
            </w:r>
          </w:p>
        </w:tc>
        <w:tc>
          <w:tcPr>
            <w:tcW w:w="1985" w:type="dxa"/>
          </w:tcPr>
          <w:p>
            <w:pPr>
              <w:pStyle w:val="TableParagraph"/>
              <w:ind w:left="119"/>
              <w:rPr>
                <w:sz w:val="20"/>
              </w:rPr>
            </w:pPr>
            <w:r>
              <w:rPr>
                <w:spacing w:val="-2"/>
                <w:sz w:val="20"/>
              </w:rPr>
              <w:t>54.2%</w:t>
            </w:r>
          </w:p>
        </w:tc>
      </w:tr>
      <w:tr>
        <w:trPr>
          <w:trHeight w:val="350" w:hRule="atLeast"/>
        </w:trPr>
        <w:tc>
          <w:tcPr>
            <w:tcW w:w="2708" w:type="dxa"/>
          </w:tcPr>
          <w:p>
            <w:pPr>
              <w:pStyle w:val="TableParagraph"/>
              <w:rPr>
                <w:sz w:val="20"/>
              </w:rPr>
            </w:pPr>
            <w:r>
              <w:rPr>
                <w:sz w:val="20"/>
              </w:rPr>
              <w:t>Trade </w:t>
            </w:r>
            <w:r>
              <w:rPr>
                <w:spacing w:val="-2"/>
                <w:sz w:val="20"/>
              </w:rPr>
              <w:t>Receivables</w:t>
            </w:r>
          </w:p>
        </w:tc>
        <w:tc>
          <w:tcPr>
            <w:tcW w:w="2137" w:type="dxa"/>
          </w:tcPr>
          <w:p>
            <w:pPr>
              <w:pStyle w:val="TableParagraph"/>
              <w:ind w:left="119"/>
              <w:rPr>
                <w:sz w:val="20"/>
              </w:rPr>
            </w:pPr>
            <w:r>
              <w:rPr>
                <w:spacing w:val="-2"/>
                <w:sz w:val="20"/>
              </w:rPr>
              <w:t>23,856</w:t>
            </w:r>
          </w:p>
        </w:tc>
        <w:tc>
          <w:tcPr>
            <w:tcW w:w="1985" w:type="dxa"/>
          </w:tcPr>
          <w:p>
            <w:pPr>
              <w:pStyle w:val="TableParagraph"/>
              <w:ind w:left="119"/>
              <w:rPr>
                <w:sz w:val="20"/>
              </w:rPr>
            </w:pPr>
            <w:r>
              <w:rPr>
                <w:spacing w:val="-4"/>
                <w:sz w:val="20"/>
              </w:rPr>
              <w:t>8.3%</w:t>
            </w:r>
          </w:p>
        </w:tc>
      </w:tr>
      <w:tr>
        <w:trPr>
          <w:trHeight w:val="350" w:hRule="atLeast"/>
        </w:trPr>
        <w:tc>
          <w:tcPr>
            <w:tcW w:w="2708" w:type="dxa"/>
          </w:tcPr>
          <w:p>
            <w:pPr>
              <w:pStyle w:val="TableParagraph"/>
              <w:rPr>
                <w:sz w:val="20"/>
              </w:rPr>
            </w:pPr>
            <w:r>
              <w:rPr>
                <w:spacing w:val="-2"/>
                <w:sz w:val="20"/>
              </w:rPr>
              <w:t>Inventories</w:t>
            </w:r>
          </w:p>
        </w:tc>
        <w:tc>
          <w:tcPr>
            <w:tcW w:w="2137" w:type="dxa"/>
          </w:tcPr>
          <w:p>
            <w:pPr>
              <w:pStyle w:val="TableParagraph"/>
              <w:ind w:left="119"/>
              <w:rPr>
                <w:sz w:val="20"/>
              </w:rPr>
            </w:pPr>
            <w:r>
              <w:rPr>
                <w:spacing w:val="-2"/>
                <w:sz w:val="20"/>
              </w:rPr>
              <w:t>64,327</w:t>
            </w:r>
          </w:p>
        </w:tc>
        <w:tc>
          <w:tcPr>
            <w:tcW w:w="1985" w:type="dxa"/>
          </w:tcPr>
          <w:p>
            <w:pPr>
              <w:pStyle w:val="TableParagraph"/>
              <w:ind w:left="119"/>
              <w:rPr>
                <w:sz w:val="20"/>
              </w:rPr>
            </w:pPr>
            <w:r>
              <w:rPr>
                <w:spacing w:val="-2"/>
                <w:sz w:val="20"/>
              </w:rPr>
              <w:t>22.4%</w:t>
            </w:r>
          </w:p>
        </w:tc>
      </w:tr>
      <w:tr>
        <w:trPr>
          <w:trHeight w:val="350" w:hRule="atLeast"/>
        </w:trPr>
        <w:tc>
          <w:tcPr>
            <w:tcW w:w="2708" w:type="dxa"/>
          </w:tcPr>
          <w:p>
            <w:pPr>
              <w:pStyle w:val="TableParagraph"/>
              <w:rPr>
                <w:sz w:val="20"/>
              </w:rPr>
            </w:pPr>
            <w:r>
              <w:rPr>
                <w:sz w:val="20"/>
              </w:rPr>
              <w:t>Other Current </w:t>
            </w:r>
            <w:r>
              <w:rPr>
                <w:spacing w:val="-2"/>
                <w:sz w:val="20"/>
              </w:rPr>
              <w:t>Assets</w:t>
            </w:r>
          </w:p>
        </w:tc>
        <w:tc>
          <w:tcPr>
            <w:tcW w:w="2137" w:type="dxa"/>
          </w:tcPr>
          <w:p>
            <w:pPr>
              <w:pStyle w:val="TableParagraph"/>
              <w:ind w:left="119"/>
              <w:rPr>
                <w:sz w:val="20"/>
              </w:rPr>
            </w:pPr>
            <w:r>
              <w:rPr>
                <w:spacing w:val="-2"/>
                <w:sz w:val="20"/>
              </w:rPr>
              <w:t>6,718</w:t>
            </w:r>
          </w:p>
        </w:tc>
        <w:tc>
          <w:tcPr>
            <w:tcW w:w="1985" w:type="dxa"/>
          </w:tcPr>
          <w:p>
            <w:pPr>
              <w:pStyle w:val="TableParagraph"/>
              <w:ind w:left="119"/>
              <w:rPr>
                <w:sz w:val="20"/>
              </w:rPr>
            </w:pPr>
            <w:r>
              <w:rPr>
                <w:spacing w:val="-4"/>
                <w:sz w:val="20"/>
              </w:rPr>
              <w:t>2.3%</w:t>
            </w:r>
          </w:p>
        </w:tc>
      </w:tr>
      <w:tr>
        <w:trPr>
          <w:trHeight w:val="350" w:hRule="atLeast"/>
        </w:trPr>
        <w:tc>
          <w:tcPr>
            <w:tcW w:w="2708" w:type="dxa"/>
          </w:tcPr>
          <w:p>
            <w:pPr>
              <w:pStyle w:val="TableParagraph"/>
              <w:rPr>
                <w:sz w:val="20"/>
              </w:rPr>
            </w:pPr>
            <w:r>
              <w:rPr>
                <w:sz w:val="20"/>
              </w:rPr>
              <w:t>**Total Current </w:t>
            </w:r>
            <w:r>
              <w:rPr>
                <w:spacing w:val="-2"/>
                <w:sz w:val="20"/>
              </w:rPr>
              <w:t>Assets**</w:t>
            </w:r>
          </w:p>
        </w:tc>
        <w:tc>
          <w:tcPr>
            <w:tcW w:w="2137" w:type="dxa"/>
          </w:tcPr>
          <w:p>
            <w:pPr>
              <w:pStyle w:val="TableParagraph"/>
              <w:ind w:left="119"/>
              <w:rPr>
                <w:sz w:val="20"/>
              </w:rPr>
            </w:pPr>
            <w:r>
              <w:rPr>
                <w:spacing w:val="-2"/>
                <w:sz w:val="20"/>
              </w:rPr>
              <w:t>**287,328**</w:t>
            </w:r>
          </w:p>
        </w:tc>
        <w:tc>
          <w:tcPr>
            <w:tcW w:w="1985" w:type="dxa"/>
          </w:tcPr>
          <w:p>
            <w:pPr>
              <w:pStyle w:val="TableParagraph"/>
              <w:ind w:left="119"/>
              <w:rPr>
                <w:sz w:val="20"/>
              </w:rPr>
            </w:pPr>
            <w:r>
              <w:rPr>
                <w:spacing w:val="-2"/>
                <w:sz w:val="20"/>
              </w:rPr>
              <w:t>**100.0%**</w:t>
            </w:r>
          </w:p>
        </w:tc>
      </w:tr>
      <w:tr>
        <w:trPr>
          <w:trHeight w:val="350" w:hRule="atLeast"/>
        </w:trPr>
        <w:tc>
          <w:tcPr>
            <w:tcW w:w="2708" w:type="dxa"/>
          </w:tcPr>
          <w:p>
            <w:pPr>
              <w:pStyle w:val="TableParagraph"/>
              <w:rPr>
                <w:sz w:val="20"/>
              </w:rPr>
            </w:pPr>
            <w:r>
              <w:rPr>
                <w:sz w:val="20"/>
              </w:rPr>
              <w:t>**Current </w:t>
            </w:r>
            <w:r>
              <w:rPr>
                <w:spacing w:val="-2"/>
                <w:sz w:val="20"/>
              </w:rPr>
              <w:t>Liabilities**</w:t>
            </w:r>
          </w:p>
        </w:tc>
        <w:tc>
          <w:tcPr>
            <w:tcW w:w="2137" w:type="dxa"/>
          </w:tcPr>
          <w:p>
            <w:pPr>
              <w:pStyle w:val="TableParagraph"/>
              <w:spacing w:before="0"/>
              <w:ind w:left="0"/>
              <w:rPr>
                <w:rFonts w:ascii="Times New Roman"/>
                <w:sz w:val="22"/>
              </w:rPr>
            </w:pPr>
          </w:p>
        </w:tc>
        <w:tc>
          <w:tcPr>
            <w:tcW w:w="1985" w:type="dxa"/>
          </w:tcPr>
          <w:p>
            <w:pPr>
              <w:pStyle w:val="TableParagraph"/>
              <w:spacing w:before="0"/>
              <w:ind w:left="0"/>
              <w:rPr>
                <w:rFonts w:ascii="Times New Roman"/>
                <w:sz w:val="22"/>
              </w:rPr>
            </w:pPr>
          </w:p>
        </w:tc>
      </w:tr>
      <w:tr>
        <w:trPr>
          <w:trHeight w:val="350" w:hRule="atLeast"/>
        </w:trPr>
        <w:tc>
          <w:tcPr>
            <w:tcW w:w="2708" w:type="dxa"/>
          </w:tcPr>
          <w:p>
            <w:pPr>
              <w:pStyle w:val="TableParagraph"/>
              <w:rPr>
                <w:sz w:val="20"/>
              </w:rPr>
            </w:pPr>
            <w:r>
              <w:rPr>
                <w:sz w:val="20"/>
              </w:rPr>
              <w:t>Short-term </w:t>
            </w:r>
            <w:r>
              <w:rPr>
                <w:spacing w:val="-2"/>
                <w:sz w:val="20"/>
              </w:rPr>
              <w:t>Borrowings</w:t>
            </w:r>
          </w:p>
        </w:tc>
        <w:tc>
          <w:tcPr>
            <w:tcW w:w="2137" w:type="dxa"/>
          </w:tcPr>
          <w:p>
            <w:pPr>
              <w:pStyle w:val="TableParagraph"/>
              <w:ind w:left="119"/>
              <w:rPr>
                <w:sz w:val="20"/>
              </w:rPr>
            </w:pPr>
            <w:r>
              <w:rPr>
                <w:spacing w:val="-2"/>
                <w:sz w:val="20"/>
              </w:rPr>
              <w:t>42,634</w:t>
            </w:r>
          </w:p>
        </w:tc>
        <w:tc>
          <w:tcPr>
            <w:tcW w:w="1985" w:type="dxa"/>
          </w:tcPr>
          <w:p>
            <w:pPr>
              <w:pStyle w:val="TableParagraph"/>
              <w:ind w:left="119"/>
              <w:rPr>
                <w:sz w:val="20"/>
              </w:rPr>
            </w:pPr>
            <w:r>
              <w:rPr>
                <w:spacing w:val="-2"/>
                <w:sz w:val="20"/>
              </w:rPr>
              <w:t>23.5%</w:t>
            </w:r>
          </w:p>
        </w:tc>
      </w:tr>
      <w:tr>
        <w:trPr>
          <w:trHeight w:val="350" w:hRule="atLeast"/>
        </w:trPr>
        <w:tc>
          <w:tcPr>
            <w:tcW w:w="2708" w:type="dxa"/>
          </w:tcPr>
          <w:p>
            <w:pPr>
              <w:pStyle w:val="TableParagraph"/>
              <w:rPr>
                <w:sz w:val="20"/>
              </w:rPr>
            </w:pPr>
            <w:r>
              <w:rPr>
                <w:sz w:val="20"/>
              </w:rPr>
              <w:t>Trade </w:t>
            </w:r>
            <w:r>
              <w:rPr>
                <w:spacing w:val="-2"/>
                <w:sz w:val="20"/>
              </w:rPr>
              <w:t>Payables</w:t>
            </w:r>
          </w:p>
        </w:tc>
        <w:tc>
          <w:tcPr>
            <w:tcW w:w="2137" w:type="dxa"/>
          </w:tcPr>
          <w:p>
            <w:pPr>
              <w:pStyle w:val="TableParagraph"/>
              <w:ind w:left="119"/>
              <w:rPr>
                <w:sz w:val="20"/>
              </w:rPr>
            </w:pPr>
            <w:r>
              <w:rPr>
                <w:spacing w:val="-2"/>
                <w:sz w:val="20"/>
              </w:rPr>
              <w:t>98,752</w:t>
            </w:r>
          </w:p>
        </w:tc>
        <w:tc>
          <w:tcPr>
            <w:tcW w:w="1985" w:type="dxa"/>
          </w:tcPr>
          <w:p>
            <w:pPr>
              <w:pStyle w:val="TableParagraph"/>
              <w:ind w:left="119"/>
              <w:rPr>
                <w:sz w:val="20"/>
              </w:rPr>
            </w:pPr>
            <w:r>
              <w:rPr>
                <w:spacing w:val="-2"/>
                <w:sz w:val="20"/>
              </w:rPr>
              <w:t>54.5%</w:t>
            </w:r>
          </w:p>
        </w:tc>
      </w:tr>
      <w:tr>
        <w:trPr>
          <w:trHeight w:val="350" w:hRule="atLeast"/>
        </w:trPr>
        <w:tc>
          <w:tcPr>
            <w:tcW w:w="2708" w:type="dxa"/>
          </w:tcPr>
          <w:p>
            <w:pPr>
              <w:pStyle w:val="TableParagraph"/>
              <w:rPr>
                <w:sz w:val="20"/>
              </w:rPr>
            </w:pPr>
            <w:r>
              <w:rPr>
                <w:sz w:val="20"/>
              </w:rPr>
              <w:t>Other Current </w:t>
            </w:r>
            <w:r>
              <w:rPr>
                <w:spacing w:val="-2"/>
                <w:sz w:val="20"/>
              </w:rPr>
              <w:t>Liabilities</w:t>
            </w:r>
          </w:p>
        </w:tc>
        <w:tc>
          <w:tcPr>
            <w:tcW w:w="2137" w:type="dxa"/>
          </w:tcPr>
          <w:p>
            <w:pPr>
              <w:pStyle w:val="TableParagraph"/>
              <w:ind w:left="119"/>
              <w:rPr>
                <w:sz w:val="20"/>
              </w:rPr>
            </w:pPr>
            <w:r>
              <w:rPr>
                <w:spacing w:val="-2"/>
                <w:sz w:val="20"/>
              </w:rPr>
              <w:t>39,865</w:t>
            </w:r>
          </w:p>
        </w:tc>
        <w:tc>
          <w:tcPr>
            <w:tcW w:w="1985" w:type="dxa"/>
          </w:tcPr>
          <w:p>
            <w:pPr>
              <w:pStyle w:val="TableParagraph"/>
              <w:ind w:left="119"/>
              <w:rPr>
                <w:sz w:val="20"/>
              </w:rPr>
            </w:pPr>
            <w:r>
              <w:rPr>
                <w:spacing w:val="-2"/>
                <w:sz w:val="20"/>
              </w:rPr>
              <w:t>22.0%</w:t>
            </w:r>
          </w:p>
        </w:tc>
      </w:tr>
      <w:tr>
        <w:trPr>
          <w:trHeight w:val="350" w:hRule="atLeast"/>
        </w:trPr>
        <w:tc>
          <w:tcPr>
            <w:tcW w:w="2708" w:type="dxa"/>
          </w:tcPr>
          <w:p>
            <w:pPr>
              <w:pStyle w:val="TableParagraph"/>
              <w:rPr>
                <w:sz w:val="20"/>
              </w:rPr>
            </w:pPr>
            <w:r>
              <w:rPr>
                <w:sz w:val="20"/>
              </w:rPr>
              <w:t>**Total Current </w:t>
            </w:r>
            <w:r>
              <w:rPr>
                <w:spacing w:val="-2"/>
                <w:sz w:val="20"/>
              </w:rPr>
              <w:t>Liabilities**</w:t>
            </w:r>
          </w:p>
        </w:tc>
        <w:tc>
          <w:tcPr>
            <w:tcW w:w="2137" w:type="dxa"/>
          </w:tcPr>
          <w:p>
            <w:pPr>
              <w:pStyle w:val="TableParagraph"/>
              <w:ind w:left="119"/>
              <w:rPr>
                <w:sz w:val="20"/>
              </w:rPr>
            </w:pPr>
            <w:r>
              <w:rPr>
                <w:spacing w:val="-2"/>
                <w:sz w:val="20"/>
              </w:rPr>
              <w:t>**181,251**</w:t>
            </w:r>
          </w:p>
        </w:tc>
        <w:tc>
          <w:tcPr>
            <w:tcW w:w="1985" w:type="dxa"/>
          </w:tcPr>
          <w:p>
            <w:pPr>
              <w:pStyle w:val="TableParagraph"/>
              <w:ind w:left="119"/>
              <w:rPr>
                <w:sz w:val="20"/>
              </w:rPr>
            </w:pPr>
            <w:r>
              <w:rPr>
                <w:spacing w:val="-2"/>
                <w:sz w:val="20"/>
              </w:rPr>
              <w:t>**100.0%**</w:t>
            </w:r>
          </w:p>
        </w:tc>
      </w:tr>
      <w:tr>
        <w:trPr>
          <w:trHeight w:val="350" w:hRule="atLeast"/>
        </w:trPr>
        <w:tc>
          <w:tcPr>
            <w:tcW w:w="2708" w:type="dxa"/>
          </w:tcPr>
          <w:p>
            <w:pPr>
              <w:pStyle w:val="TableParagraph"/>
              <w:rPr>
                <w:sz w:val="20"/>
              </w:rPr>
            </w:pPr>
            <w:r>
              <w:rPr>
                <w:sz w:val="20"/>
              </w:rPr>
              <w:t>**Net Working </w:t>
            </w:r>
            <w:r>
              <w:rPr>
                <w:spacing w:val="-2"/>
                <w:sz w:val="20"/>
              </w:rPr>
              <w:t>Capital**</w:t>
            </w:r>
          </w:p>
        </w:tc>
        <w:tc>
          <w:tcPr>
            <w:tcW w:w="2137" w:type="dxa"/>
          </w:tcPr>
          <w:p>
            <w:pPr>
              <w:pStyle w:val="TableParagraph"/>
              <w:ind w:left="119"/>
              <w:rPr>
                <w:sz w:val="20"/>
              </w:rPr>
            </w:pPr>
            <w:r>
              <w:rPr>
                <w:spacing w:val="-2"/>
                <w:sz w:val="20"/>
              </w:rPr>
              <w:t>**106,077**</w:t>
            </w:r>
          </w:p>
        </w:tc>
        <w:tc>
          <w:tcPr>
            <w:tcW w:w="1985" w:type="dxa"/>
          </w:tcPr>
          <w:p>
            <w:pPr>
              <w:pStyle w:val="TableParagraph"/>
              <w:spacing w:before="0"/>
              <w:ind w:left="0"/>
              <w:rPr>
                <w:rFonts w:ascii="Times New Roman"/>
                <w:sz w:val="22"/>
              </w:rPr>
            </w:pPr>
          </w:p>
        </w:tc>
      </w:tr>
    </w:tbl>
    <w:p>
      <w:pPr>
        <w:pStyle w:val="TableParagraph"/>
        <w:spacing w:after="0"/>
        <w:rPr>
          <w:rFonts w:ascii="Times New Roman"/>
          <w:sz w:val="22"/>
        </w:rPr>
        <w:sectPr>
          <w:pgSz w:w="12240" w:h="15840"/>
          <w:pgMar w:top="1500" w:bottom="280" w:left="1440" w:right="0"/>
        </w:sectPr>
      </w:pPr>
    </w:p>
    <w:p>
      <w:pPr>
        <w:spacing w:before="75"/>
        <w:ind w:left="120" w:right="0" w:firstLine="0"/>
        <w:jc w:val="left"/>
        <w:rPr>
          <w:rFonts w:ascii="Arial"/>
          <w:i/>
          <w:sz w:val="24"/>
        </w:rPr>
      </w:pPr>
      <w:r>
        <w:rPr>
          <w:rFonts w:ascii="Arial"/>
          <w:i/>
          <w:sz w:val="24"/>
        </w:rPr>
        <w:t>Source: RIL Annual Report FY2024-</w:t>
      </w:r>
      <w:r>
        <w:rPr>
          <w:rFonts w:ascii="Arial"/>
          <w:i/>
          <w:spacing w:val="-5"/>
          <w:sz w:val="24"/>
        </w:rPr>
        <w:t>25</w:t>
      </w:r>
    </w:p>
    <w:p>
      <w:pPr>
        <w:pStyle w:val="BodyText"/>
        <w:spacing w:before="50"/>
        <w:rPr>
          <w:rFonts w:ascii="Arial"/>
          <w:i/>
        </w:rPr>
      </w:pPr>
    </w:p>
    <w:p>
      <w:pPr>
        <w:pStyle w:val="Heading3"/>
        <w:numPr>
          <w:ilvl w:val="2"/>
          <w:numId w:val="3"/>
        </w:numPr>
        <w:tabs>
          <w:tab w:pos="820" w:val="left" w:leader="none"/>
        </w:tabs>
        <w:spacing w:line="240" w:lineRule="auto" w:before="0" w:after="0"/>
        <w:ind w:left="820" w:right="0" w:hanging="700"/>
        <w:jc w:val="left"/>
      </w:pPr>
      <w:r>
        <w:rPr/>
        <w:t>Permanent vs. Temporary Working </w:t>
      </w:r>
      <w:r>
        <w:rPr>
          <w:spacing w:val="-2"/>
        </w:rPr>
        <w:t>Capital</w:t>
      </w:r>
    </w:p>
    <w:p>
      <w:pPr>
        <w:pStyle w:val="BodyText"/>
        <w:spacing w:line="208" w:lineRule="auto" w:before="305"/>
        <w:ind w:left="120" w:right="1942"/>
      </w:pPr>
      <w:r>
        <w:rPr/>
        <w:t>Working</w:t>
      </w:r>
      <w:r>
        <w:rPr>
          <w:spacing w:val="-5"/>
        </w:rPr>
        <w:t> </w:t>
      </w:r>
      <w:r>
        <w:rPr/>
        <w:t>capital</w:t>
      </w:r>
      <w:r>
        <w:rPr>
          <w:spacing w:val="-5"/>
        </w:rPr>
        <w:t> </w:t>
      </w:r>
      <w:r>
        <w:rPr/>
        <w:t>requirements</w:t>
      </w:r>
      <w:r>
        <w:rPr>
          <w:spacing w:val="-5"/>
        </w:rPr>
        <w:t> </w:t>
      </w:r>
      <w:r>
        <w:rPr/>
        <w:t>can</w:t>
      </w:r>
      <w:r>
        <w:rPr>
          <w:spacing w:val="-5"/>
        </w:rPr>
        <w:t> </w:t>
      </w:r>
      <w:r>
        <w:rPr/>
        <w:t>be</w:t>
      </w:r>
      <w:r>
        <w:rPr>
          <w:spacing w:val="-5"/>
        </w:rPr>
        <w:t> </w:t>
      </w:r>
      <w:r>
        <w:rPr/>
        <w:t>classified</w:t>
      </w:r>
      <w:r>
        <w:rPr>
          <w:spacing w:val="-5"/>
        </w:rPr>
        <w:t> </w:t>
      </w:r>
      <w:r>
        <w:rPr/>
        <w:t>based</w:t>
      </w:r>
      <w:r>
        <w:rPr>
          <w:spacing w:val="-5"/>
        </w:rPr>
        <w:t> </w:t>
      </w:r>
      <w:r>
        <w:rPr/>
        <w:t>on</w:t>
      </w:r>
      <w:r>
        <w:rPr>
          <w:spacing w:val="-5"/>
        </w:rPr>
        <w:t> </w:t>
      </w:r>
      <w:r>
        <w:rPr/>
        <w:t>their</w:t>
      </w:r>
      <w:r>
        <w:rPr>
          <w:spacing w:val="-5"/>
        </w:rPr>
        <w:t> </w:t>
      </w:r>
      <w:r>
        <w:rPr/>
        <w:t>temporal </w:t>
      </w:r>
      <w:r>
        <w:rPr>
          <w:spacing w:val="-2"/>
        </w:rPr>
        <w:t>characteristics:</w:t>
      </w:r>
    </w:p>
    <w:p>
      <w:pPr>
        <w:pStyle w:val="BodyText"/>
        <w:spacing w:before="44"/>
      </w:pPr>
    </w:p>
    <w:p>
      <w:pPr>
        <w:pStyle w:val="BodyText"/>
        <w:spacing w:line="208" w:lineRule="auto" w:before="0"/>
        <w:ind w:left="120" w:right="1563"/>
      </w:pPr>
      <w:r>
        <w:rPr>
          <w:rFonts w:ascii="Arial"/>
          <w:b/>
        </w:rPr>
        <w:t>Permanent Working Capital: </w:t>
      </w:r>
      <w:r>
        <w:rPr/>
        <w:t>The minimum level of working capital required to maintain basic business operations, regardless of seasonal fluctuations or cyclical trends.</w:t>
      </w:r>
      <w:r>
        <w:rPr>
          <w:spacing w:val="-4"/>
        </w:rPr>
        <w:t> </w:t>
      </w:r>
      <w:r>
        <w:rPr/>
        <w:t>This</w:t>
      </w:r>
      <w:r>
        <w:rPr>
          <w:spacing w:val="-4"/>
        </w:rPr>
        <w:t> </w:t>
      </w:r>
      <w:r>
        <w:rPr/>
        <w:t>represents</w:t>
      </w:r>
      <w:r>
        <w:rPr>
          <w:spacing w:val="-4"/>
        </w:rPr>
        <w:t> </w:t>
      </w:r>
      <w:r>
        <w:rPr/>
        <w:t>the</w:t>
      </w:r>
      <w:r>
        <w:rPr>
          <w:spacing w:val="-4"/>
        </w:rPr>
        <w:t> </w:t>
      </w:r>
      <w:r>
        <w:rPr/>
        <w:t>core</w:t>
      </w:r>
      <w:r>
        <w:rPr>
          <w:spacing w:val="-4"/>
        </w:rPr>
        <w:t> </w:t>
      </w:r>
      <w:r>
        <w:rPr/>
        <w:t>investment</w:t>
      </w:r>
      <w:r>
        <w:rPr>
          <w:spacing w:val="-4"/>
        </w:rPr>
        <w:t> </w:t>
      </w:r>
      <w:r>
        <w:rPr/>
        <w:t>in</w:t>
      </w:r>
      <w:r>
        <w:rPr>
          <w:spacing w:val="-4"/>
        </w:rPr>
        <w:t> </w:t>
      </w:r>
      <w:r>
        <w:rPr/>
        <w:t>working</w:t>
      </w:r>
      <w:r>
        <w:rPr>
          <w:spacing w:val="-4"/>
        </w:rPr>
        <w:t> </w:t>
      </w:r>
      <w:r>
        <w:rPr/>
        <w:t>capital</w:t>
      </w:r>
      <w:r>
        <w:rPr>
          <w:spacing w:val="-4"/>
        </w:rPr>
        <w:t> </w:t>
      </w:r>
      <w:r>
        <w:rPr/>
        <w:t>that</w:t>
      </w:r>
      <w:r>
        <w:rPr>
          <w:spacing w:val="-4"/>
        </w:rPr>
        <w:t> </w:t>
      </w:r>
      <w:r>
        <w:rPr/>
        <w:t>persists</w:t>
      </w:r>
      <w:r>
        <w:rPr>
          <w:spacing w:val="-4"/>
        </w:rPr>
        <w:t> </w:t>
      </w:r>
      <w:r>
        <w:rPr/>
        <w:t>throughout the business cycle.</w:t>
      </w:r>
    </w:p>
    <w:p>
      <w:pPr>
        <w:pStyle w:val="BodyText"/>
        <w:spacing w:before="43"/>
      </w:pPr>
    </w:p>
    <w:p>
      <w:pPr>
        <w:pStyle w:val="BodyText"/>
        <w:spacing w:line="208" w:lineRule="auto" w:before="0"/>
        <w:ind w:left="120" w:right="1633"/>
      </w:pPr>
      <w:r>
        <w:rPr>
          <w:rFonts w:ascii="Arial"/>
          <w:b/>
        </w:rPr>
        <w:t>Temporary</w:t>
      </w:r>
      <w:r>
        <w:rPr>
          <w:rFonts w:ascii="Arial"/>
          <w:b/>
          <w:spacing w:val="-5"/>
        </w:rPr>
        <w:t> </w:t>
      </w:r>
      <w:r>
        <w:rPr>
          <w:rFonts w:ascii="Arial"/>
          <w:b/>
        </w:rPr>
        <w:t>Working</w:t>
      </w:r>
      <w:r>
        <w:rPr>
          <w:rFonts w:ascii="Arial"/>
          <w:b/>
          <w:spacing w:val="-5"/>
        </w:rPr>
        <w:t> </w:t>
      </w:r>
      <w:r>
        <w:rPr>
          <w:rFonts w:ascii="Arial"/>
          <w:b/>
        </w:rPr>
        <w:t>Capital:</w:t>
      </w:r>
      <w:r>
        <w:rPr>
          <w:rFonts w:ascii="Arial"/>
          <w:b/>
          <w:spacing w:val="-5"/>
        </w:rPr>
        <w:t> </w:t>
      </w:r>
      <w:r>
        <w:rPr/>
        <w:t>The</w:t>
      </w:r>
      <w:r>
        <w:rPr>
          <w:spacing w:val="-5"/>
        </w:rPr>
        <w:t> </w:t>
      </w:r>
      <w:r>
        <w:rPr/>
        <w:t>additional</w:t>
      </w:r>
      <w:r>
        <w:rPr>
          <w:spacing w:val="-5"/>
        </w:rPr>
        <w:t> </w:t>
      </w:r>
      <w:r>
        <w:rPr/>
        <w:t>working</w:t>
      </w:r>
      <w:r>
        <w:rPr>
          <w:spacing w:val="-5"/>
        </w:rPr>
        <w:t> </w:t>
      </w:r>
      <w:r>
        <w:rPr/>
        <w:t>capital</w:t>
      </w:r>
      <w:r>
        <w:rPr>
          <w:spacing w:val="-5"/>
        </w:rPr>
        <w:t> </w:t>
      </w:r>
      <w:r>
        <w:rPr/>
        <w:t>required</w:t>
      </w:r>
      <w:r>
        <w:rPr>
          <w:spacing w:val="-5"/>
        </w:rPr>
        <w:t> </w:t>
      </w:r>
      <w:r>
        <w:rPr/>
        <w:t>during</w:t>
      </w:r>
      <w:r>
        <w:rPr>
          <w:spacing w:val="-5"/>
        </w:rPr>
        <w:t> </w:t>
      </w:r>
      <w:r>
        <w:rPr/>
        <w:t>specific periods due to seasonal demands, special campaigns, or cyclical business patterns. This component fluctuates based on business activity levels.</w:t>
      </w:r>
    </w:p>
    <w:p>
      <w:pPr>
        <w:pStyle w:val="BodyText"/>
        <w:spacing w:before="44"/>
      </w:pPr>
    </w:p>
    <w:p>
      <w:pPr>
        <w:pStyle w:val="BodyText"/>
        <w:spacing w:line="208" w:lineRule="auto" w:before="0"/>
        <w:ind w:left="120" w:right="1633"/>
      </w:pPr>
      <w:r>
        <w:rPr/>
        <w:t>Figure</w:t>
      </w:r>
      <w:r>
        <w:rPr>
          <w:spacing w:val="-4"/>
        </w:rPr>
        <w:t> </w:t>
      </w:r>
      <w:r>
        <w:rPr/>
        <w:t>3.1</w:t>
      </w:r>
      <w:r>
        <w:rPr>
          <w:spacing w:val="-4"/>
        </w:rPr>
        <w:t> </w:t>
      </w:r>
      <w:r>
        <w:rPr/>
        <w:t>illustrates</w:t>
      </w:r>
      <w:r>
        <w:rPr>
          <w:spacing w:val="-4"/>
        </w:rPr>
        <w:t> </w:t>
      </w:r>
      <w:r>
        <w:rPr/>
        <w:t>the</w:t>
      </w:r>
      <w:r>
        <w:rPr>
          <w:spacing w:val="-4"/>
        </w:rPr>
        <w:t> </w:t>
      </w:r>
      <w:r>
        <w:rPr/>
        <w:t>concept</w:t>
      </w:r>
      <w:r>
        <w:rPr>
          <w:spacing w:val="-4"/>
        </w:rPr>
        <w:t> </w:t>
      </w:r>
      <w:r>
        <w:rPr/>
        <w:t>of</w:t>
      </w:r>
      <w:r>
        <w:rPr>
          <w:spacing w:val="-4"/>
        </w:rPr>
        <w:t> </w:t>
      </w:r>
      <w:r>
        <w:rPr/>
        <w:t>permanent</w:t>
      </w:r>
      <w:r>
        <w:rPr>
          <w:spacing w:val="-4"/>
        </w:rPr>
        <w:t> </w:t>
      </w:r>
      <w:r>
        <w:rPr/>
        <w:t>and</w:t>
      </w:r>
      <w:r>
        <w:rPr>
          <w:spacing w:val="-4"/>
        </w:rPr>
        <w:t> </w:t>
      </w:r>
      <w:r>
        <w:rPr/>
        <w:t>temporary</w:t>
      </w:r>
      <w:r>
        <w:rPr>
          <w:spacing w:val="-4"/>
        </w:rPr>
        <w:t> </w:t>
      </w:r>
      <w:r>
        <w:rPr/>
        <w:t>working</w:t>
      </w:r>
      <w:r>
        <w:rPr>
          <w:spacing w:val="-4"/>
        </w:rPr>
        <w:t> </w:t>
      </w:r>
      <w:r>
        <w:rPr/>
        <w:t>capital</w:t>
      </w:r>
      <w:r>
        <w:rPr>
          <w:spacing w:val="-4"/>
        </w:rPr>
        <w:t> </w:t>
      </w:r>
      <w:r>
        <w:rPr/>
        <w:t>over </w:t>
      </w:r>
      <w:r>
        <w:rPr>
          <w:spacing w:val="-2"/>
        </w:rPr>
        <w:t>time:</w:t>
      </w:r>
    </w:p>
    <w:p>
      <w:pPr>
        <w:pStyle w:val="BodyText"/>
        <w:spacing w:before="57"/>
      </w:pPr>
    </w:p>
    <w:p>
      <w:pPr>
        <w:pStyle w:val="Heading3"/>
        <w:ind w:left="120" w:firstLine="0"/>
      </w:pPr>
      <w:r>
        <w:rPr/>
        <w:t>Figure 3.1: Permanent vs Temporary WC </w:t>
      </w:r>
      <w:r>
        <w:rPr>
          <w:spacing w:val="-2"/>
        </w:rPr>
        <w:t>Fluctuations</w:t>
      </w:r>
    </w:p>
    <w:p>
      <w:pPr>
        <w:pStyle w:val="BodyText"/>
        <w:spacing w:before="1"/>
        <w:rPr>
          <w:rFonts w:ascii="Arial"/>
          <w:b/>
          <w:i/>
          <w:sz w:val="9"/>
        </w:rPr>
      </w:pPr>
      <w:r>
        <w:rPr>
          <w:rFonts w:ascii="Arial"/>
          <w:b/>
          <w:i/>
          <w:sz w:val="9"/>
        </w:rPr>
        <w:drawing>
          <wp:anchor distT="0" distB="0" distL="0" distR="0" allowOverlap="1" layoutInCell="1" locked="0" behindDoc="1" simplePos="0" relativeHeight="487587840">
            <wp:simplePos x="0" y="0"/>
            <wp:positionH relativeFrom="page">
              <wp:posOffset>1222552</wp:posOffset>
            </wp:positionH>
            <wp:positionV relativeFrom="paragraph">
              <wp:posOffset>81978</wp:posOffset>
            </wp:positionV>
            <wp:extent cx="5330037" cy="259003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330037" cy="2590038"/>
                    </a:xfrm>
                    <a:prstGeom prst="rect">
                      <a:avLst/>
                    </a:prstGeom>
                  </pic:spPr>
                </pic:pic>
              </a:graphicData>
            </a:graphic>
          </wp:anchor>
        </w:drawing>
      </w:r>
    </w:p>
    <w:p>
      <w:pPr>
        <w:pStyle w:val="BodyText"/>
        <w:spacing w:before="95"/>
        <w:rPr>
          <w:rFonts w:ascii="Arial"/>
          <w:b/>
          <w:i/>
          <w:sz w:val="28"/>
        </w:rPr>
      </w:pPr>
    </w:p>
    <w:p>
      <w:pPr>
        <w:pStyle w:val="BodyText"/>
        <w:spacing w:line="208" w:lineRule="auto" w:before="0"/>
        <w:ind w:left="120" w:right="1581"/>
      </w:pPr>
      <w:r>
        <w:rPr/>
        <w:t>For a conglomerate like RIL, permanent working capital requirements vary significantly across business segments. The capital-intensive O2C business requires substantial</w:t>
      </w:r>
      <w:r>
        <w:rPr>
          <w:spacing w:val="-5"/>
        </w:rPr>
        <w:t> </w:t>
      </w:r>
      <w:r>
        <w:rPr/>
        <w:t>permanent</w:t>
      </w:r>
      <w:r>
        <w:rPr>
          <w:spacing w:val="-5"/>
        </w:rPr>
        <w:t> </w:t>
      </w:r>
      <w:r>
        <w:rPr/>
        <w:t>working</w:t>
      </w:r>
      <w:r>
        <w:rPr>
          <w:spacing w:val="-5"/>
        </w:rPr>
        <w:t> </w:t>
      </w:r>
      <w:r>
        <w:rPr/>
        <w:t>capital</w:t>
      </w:r>
      <w:r>
        <w:rPr>
          <w:spacing w:val="-5"/>
        </w:rPr>
        <w:t> </w:t>
      </w:r>
      <w:r>
        <w:rPr/>
        <w:t>for</w:t>
      </w:r>
      <w:r>
        <w:rPr>
          <w:spacing w:val="-5"/>
        </w:rPr>
        <w:t> </w:t>
      </w:r>
      <w:r>
        <w:rPr/>
        <w:t>maintaining</w:t>
      </w:r>
      <w:r>
        <w:rPr>
          <w:spacing w:val="-5"/>
        </w:rPr>
        <w:t> </w:t>
      </w:r>
      <w:r>
        <w:rPr/>
        <w:t>inventory</w:t>
      </w:r>
      <w:r>
        <w:rPr>
          <w:spacing w:val="-5"/>
        </w:rPr>
        <w:t> </w:t>
      </w:r>
      <w:r>
        <w:rPr/>
        <w:t>levels</w:t>
      </w:r>
      <w:r>
        <w:rPr>
          <w:spacing w:val="-5"/>
        </w:rPr>
        <w:t> </w:t>
      </w:r>
      <w:r>
        <w:rPr/>
        <w:t>and</w:t>
      </w:r>
      <w:r>
        <w:rPr>
          <w:spacing w:val="-5"/>
        </w:rPr>
        <w:t> </w:t>
      </w:r>
      <w:r>
        <w:rPr/>
        <w:t>operational continuity, while the retail segment experiences pronounced seasonality, necessitating flexible temporary working capital management.</w:t>
      </w:r>
    </w:p>
    <w:p>
      <w:pPr>
        <w:pStyle w:val="BodyText"/>
        <w:spacing w:before="99"/>
      </w:pPr>
    </w:p>
    <w:p>
      <w:pPr>
        <w:pStyle w:val="Heading2"/>
        <w:numPr>
          <w:ilvl w:val="1"/>
          <w:numId w:val="3"/>
        </w:numPr>
        <w:tabs>
          <w:tab w:pos="653" w:val="left" w:leader="none"/>
        </w:tabs>
        <w:spacing w:line="240" w:lineRule="auto" w:before="0" w:after="0"/>
        <w:ind w:left="653" w:right="0" w:hanging="533"/>
        <w:jc w:val="left"/>
      </w:pPr>
      <w:r>
        <w:rPr/>
        <w:t>Working Capital Management </w:t>
      </w:r>
      <w:r>
        <w:rPr>
          <w:spacing w:val="-2"/>
        </w:rPr>
        <w:t>Strategies</w:t>
      </w:r>
    </w:p>
    <w:p>
      <w:pPr>
        <w:pStyle w:val="Heading2"/>
        <w:spacing w:after="0" w:line="240" w:lineRule="auto"/>
        <w:jc w:val="left"/>
        <w:sectPr>
          <w:pgSz w:w="12240" w:h="15840"/>
          <w:pgMar w:top="1740" w:bottom="280" w:left="1440" w:right="0"/>
        </w:sectPr>
      </w:pPr>
    </w:p>
    <w:p>
      <w:pPr>
        <w:pStyle w:val="Heading3"/>
        <w:numPr>
          <w:ilvl w:val="2"/>
          <w:numId w:val="3"/>
        </w:numPr>
        <w:tabs>
          <w:tab w:pos="820" w:val="left" w:leader="none"/>
        </w:tabs>
        <w:spacing w:line="240" w:lineRule="auto" w:before="77" w:after="0"/>
        <w:ind w:left="820" w:right="0" w:hanging="700"/>
        <w:jc w:val="left"/>
      </w:pPr>
      <w:r>
        <w:rPr/>
        <w:t>Approaches to Working Capital </w:t>
      </w:r>
      <w:r>
        <w:rPr>
          <w:spacing w:val="-2"/>
        </w:rPr>
        <w:t>Management</w:t>
      </w:r>
    </w:p>
    <w:p>
      <w:pPr>
        <w:pStyle w:val="BodyText"/>
        <w:spacing w:line="208" w:lineRule="auto" w:before="305"/>
        <w:ind w:left="120" w:right="1633"/>
      </w:pPr>
      <w:r>
        <w:rPr/>
        <w:t>Organizations typically adopt one of three approaches to working capital management,</w:t>
      </w:r>
      <w:r>
        <w:rPr>
          <w:spacing w:val="-5"/>
        </w:rPr>
        <w:t> </w:t>
      </w:r>
      <w:r>
        <w:rPr/>
        <w:t>each</w:t>
      </w:r>
      <w:r>
        <w:rPr>
          <w:spacing w:val="-5"/>
        </w:rPr>
        <w:t> </w:t>
      </w:r>
      <w:r>
        <w:rPr/>
        <w:t>representing</w:t>
      </w:r>
      <w:r>
        <w:rPr>
          <w:spacing w:val="-5"/>
        </w:rPr>
        <w:t> </w:t>
      </w:r>
      <w:r>
        <w:rPr/>
        <w:t>a</w:t>
      </w:r>
      <w:r>
        <w:rPr>
          <w:spacing w:val="-5"/>
        </w:rPr>
        <w:t> </w:t>
      </w:r>
      <w:r>
        <w:rPr/>
        <w:t>different</w:t>
      </w:r>
      <w:r>
        <w:rPr>
          <w:spacing w:val="-5"/>
        </w:rPr>
        <w:t> </w:t>
      </w:r>
      <w:r>
        <w:rPr/>
        <w:t>balance</w:t>
      </w:r>
      <w:r>
        <w:rPr>
          <w:spacing w:val="-5"/>
        </w:rPr>
        <w:t> </w:t>
      </w:r>
      <w:r>
        <w:rPr/>
        <w:t>between</w:t>
      </w:r>
      <w:r>
        <w:rPr>
          <w:spacing w:val="-5"/>
        </w:rPr>
        <w:t> </w:t>
      </w:r>
      <w:r>
        <w:rPr/>
        <w:t>risk</w:t>
      </w:r>
      <w:r>
        <w:rPr>
          <w:spacing w:val="-5"/>
        </w:rPr>
        <w:t> </w:t>
      </w:r>
      <w:r>
        <w:rPr/>
        <w:t>and</w:t>
      </w:r>
      <w:r>
        <w:rPr>
          <w:spacing w:val="-5"/>
        </w:rPr>
        <w:t> </w:t>
      </w:r>
      <w:r>
        <w:rPr/>
        <w:t>return:</w:t>
      </w:r>
    </w:p>
    <w:p>
      <w:pPr>
        <w:pStyle w:val="BodyText"/>
        <w:spacing w:before="44"/>
      </w:pPr>
    </w:p>
    <w:p>
      <w:pPr>
        <w:pStyle w:val="BodyText"/>
        <w:spacing w:line="208" w:lineRule="auto" w:before="0"/>
        <w:ind w:left="120" w:right="1633"/>
      </w:pPr>
      <w:r>
        <w:rPr>
          <w:rFonts w:ascii="Arial"/>
          <w:b/>
        </w:rPr>
        <w:t>Conservative</w:t>
      </w:r>
      <w:r>
        <w:rPr>
          <w:rFonts w:ascii="Arial"/>
          <w:b/>
          <w:spacing w:val="-5"/>
        </w:rPr>
        <w:t> </w:t>
      </w:r>
      <w:r>
        <w:rPr>
          <w:rFonts w:ascii="Arial"/>
          <w:b/>
        </w:rPr>
        <w:t>Approach:</w:t>
      </w:r>
      <w:r>
        <w:rPr>
          <w:rFonts w:ascii="Arial"/>
          <w:b/>
          <w:spacing w:val="-5"/>
        </w:rPr>
        <w:t> </w:t>
      </w:r>
      <w:r>
        <w:rPr/>
        <w:t>Characterized</w:t>
      </w:r>
      <w:r>
        <w:rPr>
          <w:spacing w:val="-5"/>
        </w:rPr>
        <w:t> </w:t>
      </w:r>
      <w:r>
        <w:rPr/>
        <w:t>by</w:t>
      </w:r>
      <w:r>
        <w:rPr>
          <w:spacing w:val="-5"/>
        </w:rPr>
        <w:t> </w:t>
      </w:r>
      <w:r>
        <w:rPr/>
        <w:t>maintaining</w:t>
      </w:r>
      <w:r>
        <w:rPr>
          <w:spacing w:val="-5"/>
        </w:rPr>
        <w:t> </w:t>
      </w:r>
      <w:r>
        <w:rPr/>
        <w:t>high</w:t>
      </w:r>
      <w:r>
        <w:rPr>
          <w:spacing w:val="-5"/>
        </w:rPr>
        <w:t> </w:t>
      </w:r>
      <w:r>
        <w:rPr/>
        <w:t>levels</w:t>
      </w:r>
      <w:r>
        <w:rPr>
          <w:spacing w:val="-5"/>
        </w:rPr>
        <w:t> </w:t>
      </w:r>
      <w:r>
        <w:rPr/>
        <w:t>of</w:t>
      </w:r>
      <w:r>
        <w:rPr>
          <w:spacing w:val="-5"/>
        </w:rPr>
        <w:t> </w:t>
      </w:r>
      <w:r>
        <w:rPr/>
        <w:t>current</w:t>
      </w:r>
      <w:r>
        <w:rPr>
          <w:spacing w:val="-5"/>
        </w:rPr>
        <w:t> </w:t>
      </w:r>
      <w:r>
        <w:rPr/>
        <w:t>assets relative to current liabilities, resulting in:</w:t>
      </w:r>
    </w:p>
    <w:p>
      <w:pPr>
        <w:pStyle w:val="ListParagraph"/>
        <w:numPr>
          <w:ilvl w:val="3"/>
          <w:numId w:val="3"/>
        </w:numPr>
        <w:tabs>
          <w:tab w:pos="266" w:val="left" w:leader="none"/>
        </w:tabs>
        <w:spacing w:line="240" w:lineRule="auto" w:before="90" w:after="0"/>
        <w:ind w:left="266" w:right="0" w:hanging="146"/>
        <w:jc w:val="left"/>
        <w:rPr>
          <w:sz w:val="24"/>
        </w:rPr>
      </w:pPr>
      <w:r>
        <w:rPr>
          <w:sz w:val="24"/>
        </w:rPr>
        <w:t>Higher liquidity and lower risk of operational </w:t>
      </w:r>
      <w:r>
        <w:rPr>
          <w:spacing w:val="-2"/>
          <w:sz w:val="24"/>
        </w:rPr>
        <w:t>disruptions</w:t>
      </w:r>
    </w:p>
    <w:p>
      <w:pPr>
        <w:pStyle w:val="ListParagraph"/>
        <w:numPr>
          <w:ilvl w:val="3"/>
          <w:numId w:val="3"/>
        </w:numPr>
        <w:tabs>
          <w:tab w:pos="266" w:val="left" w:leader="none"/>
        </w:tabs>
        <w:spacing w:line="240" w:lineRule="auto" w:before="84" w:after="0"/>
        <w:ind w:left="266" w:right="0" w:hanging="146"/>
        <w:jc w:val="left"/>
        <w:rPr>
          <w:sz w:val="24"/>
        </w:rPr>
      </w:pPr>
      <w:r>
        <w:rPr>
          <w:sz w:val="24"/>
        </w:rPr>
        <w:t>Reduced risk of short-term </w:t>
      </w:r>
      <w:r>
        <w:rPr>
          <w:spacing w:val="-2"/>
          <w:sz w:val="24"/>
        </w:rPr>
        <w:t>insolvency</w:t>
      </w:r>
    </w:p>
    <w:p>
      <w:pPr>
        <w:pStyle w:val="ListParagraph"/>
        <w:numPr>
          <w:ilvl w:val="3"/>
          <w:numId w:val="3"/>
        </w:numPr>
        <w:tabs>
          <w:tab w:pos="266" w:val="left" w:leader="none"/>
        </w:tabs>
        <w:spacing w:line="240" w:lineRule="auto" w:before="84" w:after="0"/>
        <w:ind w:left="266" w:right="0" w:hanging="146"/>
        <w:jc w:val="left"/>
        <w:rPr>
          <w:sz w:val="24"/>
        </w:rPr>
      </w:pPr>
      <w:r>
        <w:rPr>
          <w:sz w:val="24"/>
        </w:rPr>
        <w:t>Lower returns on assets due to excess idle </w:t>
      </w:r>
      <w:r>
        <w:rPr>
          <w:spacing w:val="-2"/>
          <w:sz w:val="24"/>
        </w:rPr>
        <w:t>resources</w:t>
      </w:r>
    </w:p>
    <w:p>
      <w:pPr>
        <w:pStyle w:val="ListParagraph"/>
        <w:numPr>
          <w:ilvl w:val="3"/>
          <w:numId w:val="3"/>
        </w:numPr>
        <w:tabs>
          <w:tab w:pos="266" w:val="left" w:leader="none"/>
        </w:tabs>
        <w:spacing w:line="240" w:lineRule="auto" w:before="84" w:after="0"/>
        <w:ind w:left="266" w:right="0" w:hanging="146"/>
        <w:jc w:val="left"/>
        <w:rPr>
          <w:sz w:val="24"/>
        </w:rPr>
      </w:pPr>
      <w:r>
        <w:rPr>
          <w:sz w:val="24"/>
        </w:rPr>
        <w:t>Potential opportunity costs from underutilized </w:t>
      </w:r>
      <w:r>
        <w:rPr>
          <w:spacing w:val="-2"/>
          <w:sz w:val="24"/>
        </w:rPr>
        <w:t>capital</w:t>
      </w:r>
    </w:p>
    <w:p>
      <w:pPr>
        <w:pStyle w:val="BodyText"/>
        <w:spacing w:before="8"/>
      </w:pPr>
    </w:p>
    <w:p>
      <w:pPr>
        <w:spacing w:before="0"/>
        <w:ind w:left="120" w:right="0" w:firstLine="0"/>
        <w:jc w:val="left"/>
        <w:rPr>
          <w:sz w:val="24"/>
        </w:rPr>
      </w:pPr>
      <w:r>
        <w:rPr>
          <w:rFonts w:ascii="Arial"/>
          <w:b/>
          <w:sz w:val="24"/>
        </w:rPr>
        <w:t>Moderate Approach: </w:t>
      </w:r>
      <w:r>
        <w:rPr>
          <w:sz w:val="24"/>
        </w:rPr>
        <w:t>Balances risk and return considerations </w:t>
      </w:r>
      <w:r>
        <w:rPr>
          <w:spacing w:val="-5"/>
          <w:sz w:val="24"/>
        </w:rPr>
        <w:t>by:</w:t>
      </w:r>
    </w:p>
    <w:p>
      <w:pPr>
        <w:pStyle w:val="ListParagraph"/>
        <w:numPr>
          <w:ilvl w:val="3"/>
          <w:numId w:val="3"/>
        </w:numPr>
        <w:tabs>
          <w:tab w:pos="266" w:val="left" w:leader="none"/>
        </w:tabs>
        <w:spacing w:line="240" w:lineRule="auto" w:before="84" w:after="0"/>
        <w:ind w:left="266" w:right="0" w:hanging="146"/>
        <w:jc w:val="left"/>
        <w:rPr>
          <w:sz w:val="24"/>
        </w:rPr>
      </w:pPr>
      <w:r>
        <w:rPr>
          <w:sz w:val="24"/>
        </w:rPr>
        <w:t>Maintaining adequate liquidity for normal </w:t>
      </w:r>
      <w:r>
        <w:rPr>
          <w:spacing w:val="-2"/>
          <w:sz w:val="24"/>
        </w:rPr>
        <w:t>operations</w:t>
      </w:r>
    </w:p>
    <w:p>
      <w:pPr>
        <w:pStyle w:val="ListParagraph"/>
        <w:numPr>
          <w:ilvl w:val="3"/>
          <w:numId w:val="3"/>
        </w:numPr>
        <w:tabs>
          <w:tab w:pos="266" w:val="left" w:leader="none"/>
        </w:tabs>
        <w:spacing w:line="240" w:lineRule="auto" w:before="84" w:after="0"/>
        <w:ind w:left="266" w:right="0" w:hanging="146"/>
        <w:jc w:val="left"/>
        <w:rPr>
          <w:sz w:val="24"/>
        </w:rPr>
      </w:pPr>
      <w:r>
        <w:rPr>
          <w:sz w:val="24"/>
        </w:rPr>
        <w:t>Investing working capital to generate reasonable </w:t>
      </w:r>
      <w:r>
        <w:rPr>
          <w:spacing w:val="-2"/>
          <w:sz w:val="24"/>
        </w:rPr>
        <w:t>returns</w:t>
      </w:r>
    </w:p>
    <w:p>
      <w:pPr>
        <w:pStyle w:val="ListParagraph"/>
        <w:numPr>
          <w:ilvl w:val="3"/>
          <w:numId w:val="3"/>
        </w:numPr>
        <w:tabs>
          <w:tab w:pos="266" w:val="left" w:leader="none"/>
        </w:tabs>
        <w:spacing w:line="240" w:lineRule="auto" w:before="84" w:after="0"/>
        <w:ind w:left="266" w:right="0" w:hanging="146"/>
        <w:jc w:val="left"/>
        <w:rPr>
          <w:sz w:val="24"/>
        </w:rPr>
      </w:pPr>
      <w:r>
        <w:rPr>
          <w:sz w:val="24"/>
        </w:rPr>
        <w:t>Matching asset and liability </w:t>
      </w:r>
      <w:r>
        <w:rPr>
          <w:spacing w:val="-2"/>
          <w:sz w:val="24"/>
        </w:rPr>
        <w:t>maturities</w:t>
      </w:r>
    </w:p>
    <w:p>
      <w:pPr>
        <w:pStyle w:val="ListParagraph"/>
        <w:numPr>
          <w:ilvl w:val="3"/>
          <w:numId w:val="3"/>
        </w:numPr>
        <w:tabs>
          <w:tab w:pos="266" w:val="left" w:leader="none"/>
        </w:tabs>
        <w:spacing w:line="240" w:lineRule="auto" w:before="84" w:after="0"/>
        <w:ind w:left="266" w:right="0" w:hanging="146"/>
        <w:jc w:val="left"/>
        <w:rPr>
          <w:sz w:val="24"/>
        </w:rPr>
      </w:pPr>
      <w:r>
        <w:rPr>
          <w:sz w:val="24"/>
        </w:rPr>
        <w:t>Adjusting working capital levels based on business </w:t>
      </w:r>
      <w:r>
        <w:rPr>
          <w:spacing w:val="-2"/>
          <w:sz w:val="24"/>
        </w:rPr>
        <w:t>cycles</w:t>
      </w:r>
    </w:p>
    <w:p>
      <w:pPr>
        <w:pStyle w:val="BodyText"/>
        <w:spacing w:before="38"/>
      </w:pPr>
    </w:p>
    <w:p>
      <w:pPr>
        <w:spacing w:line="208" w:lineRule="auto" w:before="0"/>
        <w:ind w:left="120" w:right="1633" w:firstLine="0"/>
        <w:jc w:val="left"/>
        <w:rPr>
          <w:sz w:val="24"/>
        </w:rPr>
      </w:pPr>
      <w:r>
        <w:rPr>
          <w:rFonts w:ascii="Arial"/>
          <w:b/>
          <w:sz w:val="24"/>
        </w:rPr>
        <w:t>Aggressive</w:t>
      </w:r>
      <w:r>
        <w:rPr>
          <w:rFonts w:ascii="Arial"/>
          <w:b/>
          <w:spacing w:val="-5"/>
          <w:sz w:val="24"/>
        </w:rPr>
        <w:t> </w:t>
      </w:r>
      <w:r>
        <w:rPr>
          <w:rFonts w:ascii="Arial"/>
          <w:b/>
          <w:sz w:val="24"/>
        </w:rPr>
        <w:t>Approach:</w:t>
      </w:r>
      <w:r>
        <w:rPr>
          <w:rFonts w:ascii="Arial"/>
          <w:b/>
          <w:spacing w:val="-5"/>
          <w:sz w:val="24"/>
        </w:rPr>
        <w:t> </w:t>
      </w:r>
      <w:r>
        <w:rPr>
          <w:sz w:val="24"/>
        </w:rPr>
        <w:t>Minimizes</w:t>
      </w:r>
      <w:r>
        <w:rPr>
          <w:spacing w:val="-5"/>
          <w:sz w:val="24"/>
        </w:rPr>
        <w:t> </w:t>
      </w:r>
      <w:r>
        <w:rPr>
          <w:sz w:val="24"/>
        </w:rPr>
        <w:t>current</w:t>
      </w:r>
      <w:r>
        <w:rPr>
          <w:spacing w:val="-5"/>
          <w:sz w:val="24"/>
        </w:rPr>
        <w:t> </w:t>
      </w:r>
      <w:r>
        <w:rPr>
          <w:sz w:val="24"/>
        </w:rPr>
        <w:t>assets</w:t>
      </w:r>
      <w:r>
        <w:rPr>
          <w:spacing w:val="-5"/>
          <w:sz w:val="24"/>
        </w:rPr>
        <w:t> </w:t>
      </w:r>
      <w:r>
        <w:rPr>
          <w:sz w:val="24"/>
        </w:rPr>
        <w:t>or</w:t>
      </w:r>
      <w:r>
        <w:rPr>
          <w:spacing w:val="-5"/>
          <w:sz w:val="24"/>
        </w:rPr>
        <w:t> </w:t>
      </w:r>
      <w:r>
        <w:rPr>
          <w:sz w:val="24"/>
        </w:rPr>
        <w:t>maximizes</w:t>
      </w:r>
      <w:r>
        <w:rPr>
          <w:spacing w:val="-5"/>
          <w:sz w:val="24"/>
        </w:rPr>
        <w:t> </w:t>
      </w:r>
      <w:r>
        <w:rPr>
          <w:sz w:val="24"/>
        </w:rPr>
        <w:t>current</w:t>
      </w:r>
      <w:r>
        <w:rPr>
          <w:spacing w:val="-5"/>
          <w:sz w:val="24"/>
        </w:rPr>
        <w:t> </w:t>
      </w:r>
      <w:r>
        <w:rPr>
          <w:sz w:val="24"/>
        </w:rPr>
        <w:t>liabilities, resulting in:</w:t>
      </w:r>
    </w:p>
    <w:p>
      <w:pPr>
        <w:pStyle w:val="ListParagraph"/>
        <w:numPr>
          <w:ilvl w:val="3"/>
          <w:numId w:val="3"/>
        </w:numPr>
        <w:tabs>
          <w:tab w:pos="266" w:val="left" w:leader="none"/>
        </w:tabs>
        <w:spacing w:line="240" w:lineRule="auto" w:before="90" w:after="0"/>
        <w:ind w:left="266" w:right="0" w:hanging="146"/>
        <w:jc w:val="left"/>
        <w:rPr>
          <w:sz w:val="24"/>
        </w:rPr>
      </w:pPr>
      <w:r>
        <w:rPr>
          <w:sz w:val="24"/>
        </w:rPr>
        <w:t>Higher potential returns on </w:t>
      </w:r>
      <w:r>
        <w:rPr>
          <w:spacing w:val="-2"/>
          <w:sz w:val="24"/>
        </w:rPr>
        <w:t>investment</w:t>
      </w:r>
    </w:p>
    <w:p>
      <w:pPr>
        <w:pStyle w:val="ListParagraph"/>
        <w:numPr>
          <w:ilvl w:val="3"/>
          <w:numId w:val="3"/>
        </w:numPr>
        <w:tabs>
          <w:tab w:pos="266" w:val="left" w:leader="none"/>
        </w:tabs>
        <w:spacing w:line="240" w:lineRule="auto" w:before="84" w:after="0"/>
        <w:ind w:left="266" w:right="0" w:hanging="146"/>
        <w:jc w:val="left"/>
        <w:rPr>
          <w:sz w:val="24"/>
        </w:rPr>
      </w:pPr>
      <w:r>
        <w:rPr>
          <w:sz w:val="24"/>
        </w:rPr>
        <w:t>Increased risk of liquidity </w:t>
      </w:r>
      <w:r>
        <w:rPr>
          <w:spacing w:val="-2"/>
          <w:sz w:val="24"/>
        </w:rPr>
        <w:t>shortages</w:t>
      </w:r>
    </w:p>
    <w:p>
      <w:pPr>
        <w:pStyle w:val="ListParagraph"/>
        <w:numPr>
          <w:ilvl w:val="3"/>
          <w:numId w:val="3"/>
        </w:numPr>
        <w:tabs>
          <w:tab w:pos="266" w:val="left" w:leader="none"/>
        </w:tabs>
        <w:spacing w:line="240" w:lineRule="auto" w:before="84" w:after="0"/>
        <w:ind w:left="266" w:right="0" w:hanging="146"/>
        <w:jc w:val="left"/>
        <w:rPr>
          <w:sz w:val="24"/>
        </w:rPr>
      </w:pPr>
      <w:r>
        <w:rPr>
          <w:sz w:val="24"/>
        </w:rPr>
        <w:t>Greater vulnerability to operational </w:t>
      </w:r>
      <w:r>
        <w:rPr>
          <w:spacing w:val="-2"/>
          <w:sz w:val="24"/>
        </w:rPr>
        <w:t>disruptions</w:t>
      </w:r>
    </w:p>
    <w:p>
      <w:pPr>
        <w:pStyle w:val="ListParagraph"/>
        <w:numPr>
          <w:ilvl w:val="3"/>
          <w:numId w:val="3"/>
        </w:numPr>
        <w:tabs>
          <w:tab w:pos="266" w:val="left" w:leader="none"/>
        </w:tabs>
        <w:spacing w:line="240" w:lineRule="auto" w:before="84" w:after="0"/>
        <w:ind w:left="266" w:right="0" w:hanging="146"/>
        <w:jc w:val="left"/>
        <w:rPr>
          <w:sz w:val="24"/>
        </w:rPr>
      </w:pPr>
      <w:r>
        <w:rPr>
          <w:sz w:val="24"/>
        </w:rPr>
        <w:t>Higher sensitivity to market </w:t>
      </w:r>
      <w:r>
        <w:rPr>
          <w:spacing w:val="-2"/>
          <w:sz w:val="24"/>
        </w:rPr>
        <w:t>volatility</w:t>
      </w:r>
    </w:p>
    <w:p>
      <w:pPr>
        <w:pStyle w:val="BodyText"/>
        <w:spacing w:before="8"/>
      </w:pPr>
    </w:p>
    <w:p>
      <w:pPr>
        <w:pStyle w:val="BodyText"/>
        <w:spacing w:before="0"/>
        <w:ind w:left="120"/>
      </w:pPr>
      <w:r>
        <w:rPr/>
        <w:t>Table 3.2 compares these approaches using key working capital </w:t>
      </w:r>
      <w:r>
        <w:rPr>
          <w:spacing w:val="-2"/>
        </w:rPr>
        <w:t>ratios:</w:t>
      </w:r>
    </w:p>
    <w:p>
      <w:pPr>
        <w:pStyle w:val="BodyText"/>
        <w:spacing w:before="8"/>
      </w:pPr>
    </w:p>
    <w:p>
      <w:pPr>
        <w:spacing w:before="0"/>
        <w:ind w:left="120" w:right="0" w:firstLine="0"/>
        <w:jc w:val="left"/>
        <w:rPr>
          <w:rFonts w:ascii="Arial"/>
          <w:b/>
          <w:sz w:val="24"/>
        </w:rPr>
      </w:pPr>
      <w:r>
        <w:rPr>
          <w:rFonts w:ascii="Arial"/>
          <w:b/>
          <w:sz w:val="24"/>
        </w:rPr>
        <w:t>Table 3.2: Comparison of Working Capital Management </w:t>
      </w:r>
      <w:r>
        <w:rPr>
          <w:rFonts w:ascii="Arial"/>
          <w:b/>
          <w:spacing w:val="-2"/>
          <w:sz w:val="24"/>
        </w:rPr>
        <w:t>Approaches</w:t>
      </w:r>
    </w:p>
    <w:p>
      <w:pPr>
        <w:pStyle w:val="BodyText"/>
        <w:spacing w:before="6" w:after="1"/>
        <w:rPr>
          <w:rFonts w:ascii="Arial"/>
          <w:b/>
          <w:sz w:val="12"/>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1429"/>
        <w:gridCol w:w="1273"/>
        <w:gridCol w:w="2507"/>
      </w:tblGrid>
      <w:tr>
        <w:trPr>
          <w:trHeight w:val="350" w:hRule="atLeast"/>
        </w:trPr>
        <w:tc>
          <w:tcPr>
            <w:tcW w:w="1407" w:type="dxa"/>
            <w:shd w:val="clear" w:color="auto" w:fill="D3D3D3"/>
          </w:tcPr>
          <w:p>
            <w:pPr>
              <w:pStyle w:val="TableParagraph"/>
              <w:ind w:left="275"/>
              <w:rPr>
                <w:sz w:val="20"/>
              </w:rPr>
            </w:pPr>
            <w:r>
              <w:rPr>
                <w:spacing w:val="-2"/>
                <w:sz w:val="20"/>
              </w:rPr>
              <w:t>Approach</w:t>
            </w:r>
          </w:p>
        </w:tc>
        <w:tc>
          <w:tcPr>
            <w:tcW w:w="1429" w:type="dxa"/>
            <w:shd w:val="clear" w:color="auto" w:fill="D3D3D3"/>
          </w:tcPr>
          <w:p>
            <w:pPr>
              <w:pStyle w:val="TableParagraph"/>
              <w:rPr>
                <w:sz w:val="20"/>
              </w:rPr>
            </w:pPr>
            <w:r>
              <w:rPr>
                <w:sz w:val="20"/>
              </w:rPr>
              <w:t>Current </w:t>
            </w:r>
            <w:r>
              <w:rPr>
                <w:spacing w:val="-2"/>
                <w:sz w:val="20"/>
              </w:rPr>
              <w:t>Ratio</w:t>
            </w:r>
          </w:p>
        </w:tc>
        <w:tc>
          <w:tcPr>
            <w:tcW w:w="1273" w:type="dxa"/>
            <w:shd w:val="clear" w:color="auto" w:fill="D3D3D3"/>
          </w:tcPr>
          <w:p>
            <w:pPr>
              <w:pStyle w:val="TableParagraph"/>
              <w:rPr>
                <w:sz w:val="20"/>
              </w:rPr>
            </w:pPr>
            <w:r>
              <w:rPr>
                <w:sz w:val="20"/>
              </w:rPr>
              <w:t>Quick </w:t>
            </w:r>
            <w:r>
              <w:rPr>
                <w:spacing w:val="-2"/>
                <w:sz w:val="20"/>
              </w:rPr>
              <w:t>Ratio</w:t>
            </w:r>
          </w:p>
        </w:tc>
        <w:tc>
          <w:tcPr>
            <w:tcW w:w="2507" w:type="dxa"/>
            <w:shd w:val="clear" w:color="auto" w:fill="D3D3D3"/>
          </w:tcPr>
          <w:p>
            <w:pPr>
              <w:pStyle w:val="TableParagraph"/>
              <w:rPr>
                <w:sz w:val="20"/>
              </w:rPr>
            </w:pPr>
            <w:r>
              <w:rPr>
                <w:sz w:val="20"/>
              </w:rPr>
              <w:t>Working Capital </w:t>
            </w:r>
            <w:r>
              <w:rPr>
                <w:spacing w:val="-2"/>
                <w:sz w:val="20"/>
              </w:rPr>
              <w:t>Turnover</w:t>
            </w:r>
          </w:p>
        </w:tc>
      </w:tr>
      <w:tr>
        <w:trPr>
          <w:trHeight w:val="350" w:hRule="atLeast"/>
        </w:trPr>
        <w:tc>
          <w:tcPr>
            <w:tcW w:w="1407" w:type="dxa"/>
          </w:tcPr>
          <w:p>
            <w:pPr>
              <w:pStyle w:val="TableParagraph"/>
              <w:rPr>
                <w:sz w:val="20"/>
              </w:rPr>
            </w:pPr>
            <w:r>
              <w:rPr>
                <w:spacing w:val="-2"/>
                <w:sz w:val="20"/>
              </w:rPr>
              <w:t>Conservative</w:t>
            </w:r>
          </w:p>
        </w:tc>
        <w:tc>
          <w:tcPr>
            <w:tcW w:w="1429" w:type="dxa"/>
          </w:tcPr>
          <w:p>
            <w:pPr>
              <w:pStyle w:val="TableParagraph"/>
              <w:rPr>
                <w:sz w:val="20"/>
              </w:rPr>
            </w:pPr>
            <w:r>
              <w:rPr>
                <w:sz w:val="20"/>
              </w:rPr>
              <w:t>&gt; </w:t>
            </w:r>
            <w:r>
              <w:rPr>
                <w:spacing w:val="-5"/>
                <w:sz w:val="20"/>
              </w:rPr>
              <w:t>2.0</w:t>
            </w:r>
          </w:p>
        </w:tc>
        <w:tc>
          <w:tcPr>
            <w:tcW w:w="1273" w:type="dxa"/>
          </w:tcPr>
          <w:p>
            <w:pPr>
              <w:pStyle w:val="TableParagraph"/>
              <w:rPr>
                <w:sz w:val="20"/>
              </w:rPr>
            </w:pPr>
            <w:r>
              <w:rPr>
                <w:sz w:val="20"/>
              </w:rPr>
              <w:t>&gt; </w:t>
            </w:r>
            <w:r>
              <w:rPr>
                <w:spacing w:val="-5"/>
                <w:sz w:val="20"/>
              </w:rPr>
              <w:t>1.5</w:t>
            </w:r>
          </w:p>
        </w:tc>
        <w:tc>
          <w:tcPr>
            <w:tcW w:w="2507" w:type="dxa"/>
          </w:tcPr>
          <w:p>
            <w:pPr>
              <w:pStyle w:val="TableParagraph"/>
              <w:rPr>
                <w:sz w:val="20"/>
              </w:rPr>
            </w:pPr>
            <w:r>
              <w:rPr>
                <w:sz w:val="20"/>
              </w:rPr>
              <w:t>Lower (3-</w:t>
            </w:r>
            <w:r>
              <w:rPr>
                <w:spacing w:val="-5"/>
                <w:sz w:val="20"/>
              </w:rPr>
              <w:t>5)</w:t>
            </w:r>
          </w:p>
        </w:tc>
      </w:tr>
      <w:tr>
        <w:trPr>
          <w:trHeight w:val="350" w:hRule="atLeast"/>
        </w:trPr>
        <w:tc>
          <w:tcPr>
            <w:tcW w:w="1407" w:type="dxa"/>
          </w:tcPr>
          <w:p>
            <w:pPr>
              <w:pStyle w:val="TableParagraph"/>
              <w:rPr>
                <w:sz w:val="20"/>
              </w:rPr>
            </w:pPr>
            <w:r>
              <w:rPr>
                <w:spacing w:val="-2"/>
                <w:sz w:val="20"/>
              </w:rPr>
              <w:t>Moderate</w:t>
            </w:r>
          </w:p>
        </w:tc>
        <w:tc>
          <w:tcPr>
            <w:tcW w:w="1429" w:type="dxa"/>
          </w:tcPr>
          <w:p>
            <w:pPr>
              <w:pStyle w:val="TableParagraph"/>
              <w:rPr>
                <w:sz w:val="20"/>
              </w:rPr>
            </w:pPr>
            <w:r>
              <w:rPr>
                <w:sz w:val="20"/>
              </w:rPr>
              <w:t>1.5 - </w:t>
            </w:r>
            <w:r>
              <w:rPr>
                <w:spacing w:val="-5"/>
                <w:sz w:val="20"/>
              </w:rPr>
              <w:t>2.0</w:t>
            </w:r>
          </w:p>
        </w:tc>
        <w:tc>
          <w:tcPr>
            <w:tcW w:w="1273" w:type="dxa"/>
          </w:tcPr>
          <w:p>
            <w:pPr>
              <w:pStyle w:val="TableParagraph"/>
              <w:rPr>
                <w:sz w:val="20"/>
              </w:rPr>
            </w:pPr>
            <w:r>
              <w:rPr>
                <w:sz w:val="20"/>
              </w:rPr>
              <w:t>1.0 - </w:t>
            </w:r>
            <w:r>
              <w:rPr>
                <w:spacing w:val="-5"/>
                <w:sz w:val="20"/>
              </w:rPr>
              <w:t>1.5</w:t>
            </w:r>
          </w:p>
        </w:tc>
        <w:tc>
          <w:tcPr>
            <w:tcW w:w="2507" w:type="dxa"/>
          </w:tcPr>
          <w:p>
            <w:pPr>
              <w:pStyle w:val="TableParagraph"/>
              <w:rPr>
                <w:sz w:val="20"/>
              </w:rPr>
            </w:pPr>
            <w:r>
              <w:rPr>
                <w:sz w:val="20"/>
              </w:rPr>
              <w:t>Medium (5-</w:t>
            </w:r>
            <w:r>
              <w:rPr>
                <w:spacing w:val="-5"/>
                <w:sz w:val="20"/>
              </w:rPr>
              <w:t>8)</w:t>
            </w:r>
          </w:p>
        </w:tc>
      </w:tr>
      <w:tr>
        <w:trPr>
          <w:trHeight w:val="350" w:hRule="atLeast"/>
        </w:trPr>
        <w:tc>
          <w:tcPr>
            <w:tcW w:w="1407" w:type="dxa"/>
          </w:tcPr>
          <w:p>
            <w:pPr>
              <w:pStyle w:val="TableParagraph"/>
              <w:rPr>
                <w:sz w:val="20"/>
              </w:rPr>
            </w:pPr>
            <w:r>
              <w:rPr>
                <w:spacing w:val="-2"/>
                <w:sz w:val="20"/>
              </w:rPr>
              <w:t>Aggressive</w:t>
            </w:r>
          </w:p>
        </w:tc>
        <w:tc>
          <w:tcPr>
            <w:tcW w:w="1429" w:type="dxa"/>
          </w:tcPr>
          <w:p>
            <w:pPr>
              <w:pStyle w:val="TableParagraph"/>
              <w:rPr>
                <w:sz w:val="20"/>
              </w:rPr>
            </w:pPr>
            <w:r>
              <w:rPr>
                <w:sz w:val="20"/>
              </w:rPr>
              <w:t>&lt; </w:t>
            </w:r>
            <w:r>
              <w:rPr>
                <w:spacing w:val="-5"/>
                <w:sz w:val="20"/>
              </w:rPr>
              <w:t>1.5</w:t>
            </w:r>
          </w:p>
        </w:tc>
        <w:tc>
          <w:tcPr>
            <w:tcW w:w="1273" w:type="dxa"/>
          </w:tcPr>
          <w:p>
            <w:pPr>
              <w:pStyle w:val="TableParagraph"/>
              <w:rPr>
                <w:sz w:val="20"/>
              </w:rPr>
            </w:pPr>
            <w:r>
              <w:rPr>
                <w:sz w:val="20"/>
              </w:rPr>
              <w:t>&lt; </w:t>
            </w:r>
            <w:r>
              <w:rPr>
                <w:spacing w:val="-5"/>
                <w:sz w:val="20"/>
              </w:rPr>
              <w:t>1.0</w:t>
            </w:r>
          </w:p>
        </w:tc>
        <w:tc>
          <w:tcPr>
            <w:tcW w:w="2507" w:type="dxa"/>
          </w:tcPr>
          <w:p>
            <w:pPr>
              <w:pStyle w:val="TableParagraph"/>
              <w:rPr>
                <w:sz w:val="20"/>
              </w:rPr>
            </w:pPr>
            <w:r>
              <w:rPr>
                <w:sz w:val="20"/>
              </w:rPr>
              <w:t>Higher </w:t>
            </w:r>
            <w:r>
              <w:rPr>
                <w:spacing w:val="-4"/>
                <w:sz w:val="20"/>
              </w:rPr>
              <w:t>(8+)</w:t>
            </w:r>
          </w:p>
        </w:tc>
      </w:tr>
    </w:tbl>
    <w:p>
      <w:pPr>
        <w:pStyle w:val="BodyText"/>
        <w:spacing w:before="256"/>
        <w:rPr>
          <w:rFonts w:ascii="Arial"/>
          <w:b/>
        </w:rPr>
      </w:pPr>
    </w:p>
    <w:p>
      <w:pPr>
        <w:pStyle w:val="Heading3"/>
        <w:numPr>
          <w:ilvl w:val="2"/>
          <w:numId w:val="3"/>
        </w:numPr>
        <w:tabs>
          <w:tab w:pos="820" w:val="left" w:leader="none"/>
        </w:tabs>
        <w:spacing w:line="240" w:lineRule="auto" w:before="0" w:after="0"/>
        <w:ind w:left="820" w:right="0" w:hanging="700"/>
        <w:jc w:val="left"/>
      </w:pPr>
      <w:r>
        <w:rPr/>
        <w:t>Cash Conversion Cycle </w:t>
      </w:r>
      <w:r>
        <w:rPr>
          <w:spacing w:val="-2"/>
        </w:rPr>
        <w:t>Management</w:t>
      </w:r>
    </w:p>
    <w:p>
      <w:pPr>
        <w:pStyle w:val="BodyText"/>
        <w:spacing w:line="208" w:lineRule="auto" w:before="305"/>
        <w:ind w:left="120" w:right="1633"/>
      </w:pPr>
      <w:r>
        <w:rPr/>
        <w:t>The</w:t>
      </w:r>
      <w:r>
        <w:rPr>
          <w:spacing w:val="-4"/>
        </w:rPr>
        <w:t> </w:t>
      </w:r>
      <w:r>
        <w:rPr/>
        <w:t>Cash</w:t>
      </w:r>
      <w:r>
        <w:rPr>
          <w:spacing w:val="-4"/>
        </w:rPr>
        <w:t> </w:t>
      </w:r>
      <w:r>
        <w:rPr/>
        <w:t>Conversion</w:t>
      </w:r>
      <w:r>
        <w:rPr>
          <w:spacing w:val="-4"/>
        </w:rPr>
        <w:t> </w:t>
      </w:r>
      <w:r>
        <w:rPr/>
        <w:t>Cycle</w:t>
      </w:r>
      <w:r>
        <w:rPr>
          <w:spacing w:val="-4"/>
        </w:rPr>
        <w:t> </w:t>
      </w:r>
      <w:r>
        <w:rPr/>
        <w:t>(CCC)</w:t>
      </w:r>
      <w:r>
        <w:rPr>
          <w:spacing w:val="-4"/>
        </w:rPr>
        <w:t> </w:t>
      </w:r>
      <w:r>
        <w:rPr/>
        <w:t>measures</w:t>
      </w:r>
      <w:r>
        <w:rPr>
          <w:spacing w:val="-4"/>
        </w:rPr>
        <w:t> </w:t>
      </w:r>
      <w:r>
        <w:rPr/>
        <w:t>the</w:t>
      </w:r>
      <w:r>
        <w:rPr>
          <w:spacing w:val="-4"/>
        </w:rPr>
        <w:t> </w:t>
      </w:r>
      <w:r>
        <w:rPr/>
        <w:t>time</w:t>
      </w:r>
      <w:r>
        <w:rPr>
          <w:spacing w:val="-4"/>
        </w:rPr>
        <w:t> </w:t>
      </w:r>
      <w:r>
        <w:rPr/>
        <w:t>required</w:t>
      </w:r>
      <w:r>
        <w:rPr>
          <w:spacing w:val="-4"/>
        </w:rPr>
        <w:t> </w:t>
      </w:r>
      <w:r>
        <w:rPr/>
        <w:t>to</w:t>
      </w:r>
      <w:r>
        <w:rPr>
          <w:spacing w:val="-4"/>
        </w:rPr>
        <w:t> </w:t>
      </w:r>
      <w:r>
        <w:rPr/>
        <w:t>convert</w:t>
      </w:r>
      <w:r>
        <w:rPr>
          <w:spacing w:val="-4"/>
        </w:rPr>
        <w:t> </w:t>
      </w:r>
      <w:r>
        <w:rPr/>
        <w:t>resource inputs into cash flows and is a critical metric for working capital efficiency. It is calculated as:</w:t>
      </w:r>
    </w:p>
    <w:p>
      <w:pPr>
        <w:pStyle w:val="BodyText"/>
        <w:spacing w:after="0" w:line="208" w:lineRule="auto"/>
        <w:sectPr>
          <w:pgSz w:w="12240" w:h="15840"/>
          <w:pgMar w:top="1500" w:bottom="280" w:left="1440" w:right="0"/>
        </w:sectPr>
      </w:pPr>
    </w:p>
    <w:p>
      <w:pPr>
        <w:pStyle w:val="BodyText"/>
        <w:spacing w:line="208" w:lineRule="auto" w:before="104"/>
        <w:ind w:left="120" w:right="1633"/>
      </w:pPr>
      <w:r>
        <w:rPr/>
        <w:t>CCC</w:t>
      </w:r>
      <w:r>
        <w:rPr>
          <w:spacing w:val="-4"/>
        </w:rPr>
        <w:t> </w:t>
      </w:r>
      <w:r>
        <w:rPr/>
        <w:t>=</w:t>
      </w:r>
      <w:r>
        <w:rPr>
          <w:spacing w:val="-4"/>
        </w:rPr>
        <w:t> </w:t>
      </w:r>
      <w:r>
        <w:rPr/>
        <w:t>Inventory</w:t>
      </w:r>
      <w:r>
        <w:rPr>
          <w:spacing w:val="-4"/>
        </w:rPr>
        <w:t> </w:t>
      </w:r>
      <w:r>
        <w:rPr/>
        <w:t>Conversion</w:t>
      </w:r>
      <w:r>
        <w:rPr>
          <w:spacing w:val="-4"/>
        </w:rPr>
        <w:t> </w:t>
      </w:r>
      <w:r>
        <w:rPr/>
        <w:t>Period</w:t>
      </w:r>
      <w:r>
        <w:rPr>
          <w:spacing w:val="-4"/>
        </w:rPr>
        <w:t> </w:t>
      </w:r>
      <w:r>
        <w:rPr/>
        <w:t>+</w:t>
      </w:r>
      <w:r>
        <w:rPr>
          <w:spacing w:val="-4"/>
        </w:rPr>
        <w:t> </w:t>
      </w:r>
      <w:r>
        <w:rPr/>
        <w:t>Receivables</w:t>
      </w:r>
      <w:r>
        <w:rPr>
          <w:spacing w:val="-4"/>
        </w:rPr>
        <w:t> </w:t>
      </w:r>
      <w:r>
        <w:rPr/>
        <w:t>Collection</w:t>
      </w:r>
      <w:r>
        <w:rPr>
          <w:spacing w:val="-4"/>
        </w:rPr>
        <w:t> </w:t>
      </w:r>
      <w:r>
        <w:rPr/>
        <w:t>Period</w:t>
      </w:r>
      <w:r>
        <w:rPr>
          <w:spacing w:val="-4"/>
        </w:rPr>
        <w:t> </w:t>
      </w:r>
      <w:r>
        <w:rPr/>
        <w:t>-</w:t>
      </w:r>
      <w:r>
        <w:rPr>
          <w:spacing w:val="-4"/>
        </w:rPr>
        <w:t> </w:t>
      </w:r>
      <w:r>
        <w:rPr/>
        <w:t>Payables Deferral Period</w:t>
      </w:r>
    </w:p>
    <w:p>
      <w:pPr>
        <w:pStyle w:val="BodyText"/>
        <w:spacing w:before="14"/>
      </w:pPr>
    </w:p>
    <w:p>
      <w:pPr>
        <w:pStyle w:val="BodyText"/>
        <w:spacing w:before="0"/>
        <w:ind w:left="120"/>
      </w:pPr>
      <w:r>
        <w:rPr>
          <w:spacing w:val="-2"/>
        </w:rPr>
        <w:t>Where:</w:t>
      </w:r>
    </w:p>
    <w:p>
      <w:pPr>
        <w:pStyle w:val="ListParagraph"/>
        <w:numPr>
          <w:ilvl w:val="0"/>
          <w:numId w:val="10"/>
        </w:numPr>
        <w:tabs>
          <w:tab w:pos="266" w:val="left" w:leader="none"/>
        </w:tabs>
        <w:spacing w:line="240" w:lineRule="auto" w:before="84" w:after="0"/>
        <w:ind w:left="266" w:right="0" w:hanging="146"/>
        <w:jc w:val="left"/>
        <w:rPr>
          <w:sz w:val="24"/>
        </w:rPr>
      </w:pPr>
      <w:r>
        <w:rPr>
          <w:sz w:val="24"/>
        </w:rPr>
        <w:t>Inventory Conversion Period = (Average Inventory / Cost of Goods Sold) × </w:t>
      </w:r>
      <w:r>
        <w:rPr>
          <w:spacing w:val="-5"/>
          <w:sz w:val="24"/>
        </w:rPr>
        <w:t>365</w:t>
      </w:r>
    </w:p>
    <w:p>
      <w:pPr>
        <w:pStyle w:val="ListParagraph"/>
        <w:numPr>
          <w:ilvl w:val="0"/>
          <w:numId w:val="10"/>
        </w:numPr>
        <w:tabs>
          <w:tab w:pos="266" w:val="left" w:leader="none"/>
        </w:tabs>
        <w:spacing w:line="240" w:lineRule="auto" w:before="84" w:after="0"/>
        <w:ind w:left="266" w:right="0" w:hanging="146"/>
        <w:jc w:val="left"/>
        <w:rPr>
          <w:sz w:val="24"/>
        </w:rPr>
      </w:pPr>
      <w:r>
        <w:rPr>
          <w:sz w:val="24"/>
        </w:rPr>
        <w:t>Receivables Collection Period = (Average Accounts Receivable / Revenue) × </w:t>
      </w:r>
      <w:r>
        <w:rPr>
          <w:spacing w:val="-5"/>
          <w:sz w:val="24"/>
        </w:rPr>
        <w:t>365</w:t>
      </w:r>
    </w:p>
    <w:p>
      <w:pPr>
        <w:pStyle w:val="ListParagraph"/>
        <w:numPr>
          <w:ilvl w:val="0"/>
          <w:numId w:val="10"/>
        </w:numPr>
        <w:tabs>
          <w:tab w:pos="266" w:val="left" w:leader="none"/>
        </w:tabs>
        <w:spacing w:line="240" w:lineRule="auto" w:before="84" w:after="0"/>
        <w:ind w:left="266" w:right="0" w:hanging="146"/>
        <w:jc w:val="left"/>
        <w:rPr>
          <w:sz w:val="24"/>
        </w:rPr>
      </w:pPr>
      <w:r>
        <w:rPr>
          <w:sz w:val="24"/>
        </w:rPr>
        <w:t>Payables Deferral Period = (Average Accounts Payable / Cost of Goods Sold) × </w:t>
      </w:r>
      <w:r>
        <w:rPr>
          <w:spacing w:val="-5"/>
          <w:sz w:val="24"/>
        </w:rPr>
        <w:t>365</w:t>
      </w:r>
    </w:p>
    <w:p>
      <w:pPr>
        <w:pStyle w:val="BodyText"/>
        <w:spacing w:before="38"/>
      </w:pPr>
    </w:p>
    <w:p>
      <w:pPr>
        <w:pStyle w:val="BodyText"/>
        <w:spacing w:line="208" w:lineRule="auto" w:before="0"/>
        <w:ind w:left="120" w:right="1221"/>
      </w:pPr>
      <w:r>
        <w:rPr/>
        <w:t>A shorter CCC generally indicates more efficient working capital management, as it represents</w:t>
      </w:r>
      <w:r>
        <w:rPr>
          <w:spacing w:val="-6"/>
        </w:rPr>
        <w:t> </w:t>
      </w:r>
      <w:r>
        <w:rPr/>
        <w:t>quicker</w:t>
      </w:r>
      <w:r>
        <w:rPr>
          <w:spacing w:val="-6"/>
        </w:rPr>
        <w:t> </w:t>
      </w:r>
      <w:r>
        <w:rPr/>
        <w:t>conversion</w:t>
      </w:r>
      <w:r>
        <w:rPr>
          <w:spacing w:val="-6"/>
        </w:rPr>
        <w:t> </w:t>
      </w:r>
      <w:r>
        <w:rPr/>
        <w:t>of</w:t>
      </w:r>
      <w:r>
        <w:rPr>
          <w:spacing w:val="-6"/>
        </w:rPr>
        <w:t> </w:t>
      </w:r>
      <w:r>
        <w:rPr/>
        <w:t>investments</w:t>
      </w:r>
      <w:r>
        <w:rPr>
          <w:spacing w:val="-6"/>
        </w:rPr>
        <w:t> </w:t>
      </w:r>
      <w:r>
        <w:rPr/>
        <w:t>in</w:t>
      </w:r>
      <w:r>
        <w:rPr>
          <w:spacing w:val="-6"/>
        </w:rPr>
        <w:t> </w:t>
      </w:r>
      <w:r>
        <w:rPr/>
        <w:t>inventories</w:t>
      </w:r>
      <w:r>
        <w:rPr>
          <w:spacing w:val="-6"/>
        </w:rPr>
        <w:t> </w:t>
      </w:r>
      <w:r>
        <w:rPr/>
        <w:t>and</w:t>
      </w:r>
      <w:r>
        <w:rPr>
          <w:spacing w:val="-6"/>
        </w:rPr>
        <w:t> </w:t>
      </w:r>
      <w:r>
        <w:rPr/>
        <w:t>receivables</w:t>
      </w:r>
      <w:r>
        <w:rPr>
          <w:spacing w:val="-6"/>
        </w:rPr>
        <w:t> </w:t>
      </w:r>
      <w:r>
        <w:rPr/>
        <w:t>into</w:t>
      </w:r>
      <w:r>
        <w:rPr>
          <w:spacing w:val="-6"/>
        </w:rPr>
        <w:t> </w:t>
      </w:r>
      <w:r>
        <w:rPr/>
        <w:t>cash, and more effective use of supplier financing.</w:t>
      </w:r>
    </w:p>
    <w:p>
      <w:pPr>
        <w:pStyle w:val="BodyText"/>
        <w:spacing w:before="57"/>
      </w:pPr>
    </w:p>
    <w:p>
      <w:pPr>
        <w:pStyle w:val="Heading3"/>
        <w:numPr>
          <w:ilvl w:val="2"/>
          <w:numId w:val="3"/>
        </w:numPr>
        <w:tabs>
          <w:tab w:pos="820" w:val="left" w:leader="none"/>
        </w:tabs>
        <w:spacing w:line="240" w:lineRule="auto" w:before="0" w:after="0"/>
        <w:ind w:left="820" w:right="0" w:hanging="700"/>
        <w:jc w:val="left"/>
      </w:pPr>
      <w:r>
        <w:rPr/>
        <w:t>Working Capital Financing </w:t>
      </w:r>
      <w:r>
        <w:rPr>
          <w:spacing w:val="-2"/>
        </w:rPr>
        <w:t>Strategies</w:t>
      </w:r>
    </w:p>
    <w:p>
      <w:pPr>
        <w:pStyle w:val="BodyText"/>
        <w:spacing w:before="275"/>
        <w:ind w:left="120"/>
      </w:pPr>
      <w:r>
        <w:rPr/>
        <w:t>Organizations employ various strategies to finance working capital </w:t>
      </w:r>
      <w:r>
        <w:rPr>
          <w:spacing w:val="-2"/>
        </w:rPr>
        <w:t>requirements:</w:t>
      </w:r>
    </w:p>
    <w:p>
      <w:pPr>
        <w:pStyle w:val="BodyText"/>
        <w:spacing w:before="37"/>
      </w:pPr>
    </w:p>
    <w:p>
      <w:pPr>
        <w:pStyle w:val="BodyText"/>
        <w:spacing w:line="208" w:lineRule="auto" w:before="1"/>
        <w:ind w:left="120" w:right="1633"/>
      </w:pPr>
      <w:r>
        <w:rPr>
          <w:rFonts w:ascii="Arial"/>
          <w:b/>
        </w:rPr>
        <w:t>Matching</w:t>
      </w:r>
      <w:r>
        <w:rPr>
          <w:rFonts w:ascii="Arial"/>
          <w:b/>
          <w:spacing w:val="-4"/>
        </w:rPr>
        <w:t> </w:t>
      </w:r>
      <w:r>
        <w:rPr>
          <w:rFonts w:ascii="Arial"/>
          <w:b/>
        </w:rPr>
        <w:t>Approach:</w:t>
      </w:r>
      <w:r>
        <w:rPr>
          <w:rFonts w:ascii="Arial"/>
          <w:b/>
          <w:spacing w:val="-4"/>
        </w:rPr>
        <w:t> </w:t>
      </w:r>
      <w:r>
        <w:rPr/>
        <w:t>Aligns</w:t>
      </w:r>
      <w:r>
        <w:rPr>
          <w:spacing w:val="-4"/>
        </w:rPr>
        <w:t> </w:t>
      </w:r>
      <w:r>
        <w:rPr/>
        <w:t>the</w:t>
      </w:r>
      <w:r>
        <w:rPr>
          <w:spacing w:val="-4"/>
        </w:rPr>
        <w:t> </w:t>
      </w:r>
      <w:r>
        <w:rPr/>
        <w:t>maturity</w:t>
      </w:r>
      <w:r>
        <w:rPr>
          <w:spacing w:val="-4"/>
        </w:rPr>
        <w:t> </w:t>
      </w:r>
      <w:r>
        <w:rPr/>
        <w:t>of</w:t>
      </w:r>
      <w:r>
        <w:rPr>
          <w:spacing w:val="-4"/>
        </w:rPr>
        <w:t> </w:t>
      </w:r>
      <w:r>
        <w:rPr/>
        <w:t>financing</w:t>
      </w:r>
      <w:r>
        <w:rPr>
          <w:spacing w:val="-4"/>
        </w:rPr>
        <w:t> </w:t>
      </w:r>
      <w:r>
        <w:rPr/>
        <w:t>sources</w:t>
      </w:r>
      <w:r>
        <w:rPr>
          <w:spacing w:val="-4"/>
        </w:rPr>
        <w:t> </w:t>
      </w:r>
      <w:r>
        <w:rPr/>
        <w:t>with</w:t>
      </w:r>
      <w:r>
        <w:rPr>
          <w:spacing w:val="-4"/>
        </w:rPr>
        <w:t> </w:t>
      </w:r>
      <w:r>
        <w:rPr/>
        <w:t>the</w:t>
      </w:r>
      <w:r>
        <w:rPr>
          <w:spacing w:val="-4"/>
        </w:rPr>
        <w:t> </w:t>
      </w:r>
      <w:r>
        <w:rPr/>
        <w:t>duration</w:t>
      </w:r>
      <w:r>
        <w:rPr>
          <w:spacing w:val="-4"/>
        </w:rPr>
        <w:t> </w:t>
      </w:r>
      <w:r>
        <w:rPr/>
        <w:t>of assets being financed. Permanent working capital is funded through long-term sources (equity and long-term debt), while temporary working capital is financed through short-term sources.</w:t>
      </w:r>
    </w:p>
    <w:p>
      <w:pPr>
        <w:pStyle w:val="BodyText"/>
        <w:spacing w:before="43"/>
      </w:pPr>
    </w:p>
    <w:p>
      <w:pPr>
        <w:pStyle w:val="BodyText"/>
        <w:spacing w:line="208" w:lineRule="auto" w:before="0"/>
        <w:ind w:left="120" w:right="1563"/>
      </w:pPr>
      <w:r>
        <w:rPr>
          <w:rFonts w:ascii="Arial"/>
          <w:b/>
        </w:rPr>
        <w:t>Conservative</w:t>
      </w:r>
      <w:r>
        <w:rPr>
          <w:rFonts w:ascii="Arial"/>
          <w:b/>
          <w:spacing w:val="-5"/>
        </w:rPr>
        <w:t> </w:t>
      </w:r>
      <w:r>
        <w:rPr>
          <w:rFonts w:ascii="Arial"/>
          <w:b/>
        </w:rPr>
        <w:t>Financing:</w:t>
      </w:r>
      <w:r>
        <w:rPr>
          <w:rFonts w:ascii="Arial"/>
          <w:b/>
          <w:spacing w:val="-5"/>
        </w:rPr>
        <w:t> </w:t>
      </w:r>
      <w:r>
        <w:rPr/>
        <w:t>Utilizes</w:t>
      </w:r>
      <w:r>
        <w:rPr>
          <w:spacing w:val="-5"/>
        </w:rPr>
        <w:t> </w:t>
      </w:r>
      <w:r>
        <w:rPr/>
        <w:t>long-term</w:t>
      </w:r>
      <w:r>
        <w:rPr>
          <w:spacing w:val="-5"/>
        </w:rPr>
        <w:t> </w:t>
      </w:r>
      <w:r>
        <w:rPr/>
        <w:t>funds</w:t>
      </w:r>
      <w:r>
        <w:rPr>
          <w:spacing w:val="-5"/>
        </w:rPr>
        <w:t> </w:t>
      </w:r>
      <w:r>
        <w:rPr/>
        <w:t>to</w:t>
      </w:r>
      <w:r>
        <w:rPr>
          <w:spacing w:val="-5"/>
        </w:rPr>
        <w:t> </w:t>
      </w:r>
      <w:r>
        <w:rPr/>
        <w:t>finance</w:t>
      </w:r>
      <w:r>
        <w:rPr>
          <w:spacing w:val="-5"/>
        </w:rPr>
        <w:t> </w:t>
      </w:r>
      <w:r>
        <w:rPr/>
        <w:t>both</w:t>
      </w:r>
      <w:r>
        <w:rPr>
          <w:spacing w:val="-5"/>
        </w:rPr>
        <w:t> </w:t>
      </w:r>
      <w:r>
        <w:rPr/>
        <w:t>permanent</w:t>
      </w:r>
      <w:r>
        <w:rPr>
          <w:spacing w:val="-5"/>
        </w:rPr>
        <w:t> </w:t>
      </w:r>
      <w:r>
        <w:rPr/>
        <w:t>working capital and a portion of temporary working capital, with only peak temporary needs funded through short-term sources. This approach reduces refinancing risk but may incur higher interest costs.</w:t>
      </w:r>
    </w:p>
    <w:p>
      <w:pPr>
        <w:pStyle w:val="BodyText"/>
        <w:spacing w:before="44"/>
      </w:pPr>
    </w:p>
    <w:p>
      <w:pPr>
        <w:pStyle w:val="BodyText"/>
        <w:spacing w:line="208" w:lineRule="auto" w:before="0"/>
        <w:ind w:left="120" w:right="1633"/>
      </w:pPr>
      <w:r>
        <w:rPr>
          <w:rFonts w:ascii="Arial"/>
          <w:b/>
        </w:rPr>
        <w:t>Aggressive Financing: </w:t>
      </w:r>
      <w:r>
        <w:rPr/>
        <w:t>Relies on short-term funds to finance temporary working capital</w:t>
      </w:r>
      <w:r>
        <w:rPr>
          <w:spacing w:val="-3"/>
        </w:rPr>
        <w:t> </w:t>
      </w:r>
      <w:r>
        <w:rPr/>
        <w:t>and</w:t>
      </w:r>
      <w:r>
        <w:rPr>
          <w:spacing w:val="-3"/>
        </w:rPr>
        <w:t> </w:t>
      </w:r>
      <w:r>
        <w:rPr/>
        <w:t>a</w:t>
      </w:r>
      <w:r>
        <w:rPr>
          <w:spacing w:val="-3"/>
        </w:rPr>
        <w:t> </w:t>
      </w:r>
      <w:r>
        <w:rPr/>
        <w:t>portion</w:t>
      </w:r>
      <w:r>
        <w:rPr>
          <w:spacing w:val="-3"/>
        </w:rPr>
        <w:t> </w:t>
      </w:r>
      <w:r>
        <w:rPr/>
        <w:t>of</w:t>
      </w:r>
      <w:r>
        <w:rPr>
          <w:spacing w:val="-3"/>
        </w:rPr>
        <w:t> </w:t>
      </w:r>
      <w:r>
        <w:rPr/>
        <w:t>permanent</w:t>
      </w:r>
      <w:r>
        <w:rPr>
          <w:spacing w:val="-3"/>
        </w:rPr>
        <w:t> </w:t>
      </w:r>
      <w:r>
        <w:rPr/>
        <w:t>working</w:t>
      </w:r>
      <w:r>
        <w:rPr>
          <w:spacing w:val="-3"/>
        </w:rPr>
        <w:t> </w:t>
      </w:r>
      <w:r>
        <w:rPr/>
        <w:t>capital.</w:t>
      </w:r>
      <w:r>
        <w:rPr>
          <w:spacing w:val="-3"/>
        </w:rPr>
        <w:t> </w:t>
      </w:r>
      <w:r>
        <w:rPr/>
        <w:t>While</w:t>
      </w:r>
      <w:r>
        <w:rPr>
          <w:spacing w:val="-3"/>
        </w:rPr>
        <w:t> </w:t>
      </w:r>
      <w:r>
        <w:rPr/>
        <w:t>potentially</w:t>
      </w:r>
      <w:r>
        <w:rPr>
          <w:spacing w:val="-3"/>
        </w:rPr>
        <w:t> </w:t>
      </w:r>
      <w:r>
        <w:rPr/>
        <w:t>lowering</w:t>
      </w:r>
      <w:r>
        <w:rPr>
          <w:spacing w:val="-3"/>
        </w:rPr>
        <w:t> </w:t>
      </w:r>
      <w:r>
        <w:rPr/>
        <w:t>interest costs</w:t>
      </w:r>
      <w:r>
        <w:rPr>
          <w:spacing w:val="-4"/>
        </w:rPr>
        <w:t> </w:t>
      </w:r>
      <w:r>
        <w:rPr/>
        <w:t>(as</w:t>
      </w:r>
      <w:r>
        <w:rPr>
          <w:spacing w:val="-4"/>
        </w:rPr>
        <w:t> </w:t>
      </w:r>
      <w:r>
        <w:rPr/>
        <w:t>short-term</w:t>
      </w:r>
      <w:r>
        <w:rPr>
          <w:spacing w:val="-4"/>
        </w:rPr>
        <w:t> </w:t>
      </w:r>
      <w:r>
        <w:rPr/>
        <w:t>rates</w:t>
      </w:r>
      <w:r>
        <w:rPr>
          <w:spacing w:val="-4"/>
        </w:rPr>
        <w:t> </w:t>
      </w:r>
      <w:r>
        <w:rPr/>
        <w:t>are</w:t>
      </w:r>
      <w:r>
        <w:rPr>
          <w:spacing w:val="-4"/>
        </w:rPr>
        <w:t> </w:t>
      </w:r>
      <w:r>
        <w:rPr/>
        <w:t>typically</w:t>
      </w:r>
      <w:r>
        <w:rPr>
          <w:spacing w:val="-4"/>
        </w:rPr>
        <w:t> </w:t>
      </w:r>
      <w:r>
        <w:rPr/>
        <w:t>lower),</w:t>
      </w:r>
      <w:r>
        <w:rPr>
          <w:spacing w:val="-4"/>
        </w:rPr>
        <w:t> </w:t>
      </w:r>
      <w:r>
        <w:rPr/>
        <w:t>this</w:t>
      </w:r>
      <w:r>
        <w:rPr>
          <w:spacing w:val="-4"/>
        </w:rPr>
        <w:t> </w:t>
      </w:r>
      <w:r>
        <w:rPr/>
        <w:t>strategy</w:t>
      </w:r>
      <w:r>
        <w:rPr>
          <w:spacing w:val="-4"/>
        </w:rPr>
        <w:t> </w:t>
      </w:r>
      <w:r>
        <w:rPr/>
        <w:t>increases</w:t>
      </w:r>
      <w:r>
        <w:rPr>
          <w:spacing w:val="-4"/>
        </w:rPr>
        <w:t> </w:t>
      </w:r>
      <w:r>
        <w:rPr/>
        <w:t>refinancing</w:t>
      </w:r>
      <w:r>
        <w:rPr>
          <w:spacing w:val="-4"/>
        </w:rPr>
        <w:t> </w:t>
      </w:r>
      <w:r>
        <w:rPr/>
        <w:t>and interest rate risks.</w:t>
      </w:r>
    </w:p>
    <w:p>
      <w:pPr>
        <w:pStyle w:val="BodyText"/>
        <w:spacing w:before="56"/>
      </w:pPr>
    </w:p>
    <w:p>
      <w:pPr>
        <w:spacing w:before="1"/>
        <w:ind w:left="120" w:right="0" w:firstLine="0"/>
        <w:jc w:val="left"/>
        <w:rPr>
          <w:rFonts w:ascii="Arial"/>
          <w:b/>
          <w:i/>
          <w:sz w:val="28"/>
        </w:rPr>
      </w:pPr>
      <w:r>
        <w:rPr>
          <w:rFonts w:ascii="Arial"/>
          <w:b/>
          <w:i/>
          <w:sz w:val="28"/>
        </w:rPr>
        <w:t>Figure 3.2: Working Capital Financing </w:t>
      </w:r>
      <w:r>
        <w:rPr>
          <w:rFonts w:ascii="Arial"/>
          <w:b/>
          <w:i/>
          <w:spacing w:val="-2"/>
          <w:sz w:val="28"/>
        </w:rPr>
        <w:t>Approaches</w:t>
      </w:r>
    </w:p>
    <w:p>
      <w:pPr>
        <w:spacing w:after="0"/>
        <w:jc w:val="left"/>
        <w:rPr>
          <w:rFonts w:ascii="Arial"/>
          <w:b/>
          <w:i/>
          <w:sz w:val="28"/>
        </w:rPr>
        <w:sectPr>
          <w:pgSz w:w="12240" w:h="15840"/>
          <w:pgMar w:top="1500" w:bottom="280" w:left="1440" w:right="0"/>
        </w:sectPr>
      </w:pPr>
    </w:p>
    <w:p>
      <w:pPr>
        <w:pStyle w:val="BodyText"/>
        <w:spacing w:before="0"/>
        <w:ind w:left="485"/>
        <w:rPr>
          <w:rFonts w:ascii="Arial"/>
          <w:sz w:val="20"/>
        </w:rPr>
      </w:pPr>
      <w:r>
        <w:rPr>
          <w:rFonts w:ascii="Arial"/>
          <w:sz w:val="20"/>
        </w:rPr>
        <w:drawing>
          <wp:inline distT="0" distB="0" distL="0" distR="0">
            <wp:extent cx="5330037" cy="260604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330037" cy="2606040"/>
                    </a:xfrm>
                    <a:prstGeom prst="rect">
                      <a:avLst/>
                    </a:prstGeom>
                  </pic:spPr>
                </pic:pic>
              </a:graphicData>
            </a:graphic>
          </wp:inline>
        </w:drawing>
      </w:r>
      <w:r>
        <w:rPr>
          <w:rFonts w:ascii="Arial"/>
          <w:sz w:val="20"/>
        </w:rPr>
      </w:r>
    </w:p>
    <w:p>
      <w:pPr>
        <w:pStyle w:val="BodyText"/>
        <w:spacing w:before="91"/>
        <w:rPr>
          <w:rFonts w:ascii="Arial"/>
          <w:b/>
          <w:i/>
          <w:sz w:val="28"/>
        </w:rPr>
      </w:pPr>
    </w:p>
    <w:p>
      <w:pPr>
        <w:spacing w:before="0"/>
        <w:ind w:left="120" w:right="0" w:firstLine="0"/>
        <w:jc w:val="left"/>
        <w:rPr>
          <w:rFonts w:ascii="Arial"/>
          <w:b/>
          <w:i/>
          <w:sz w:val="28"/>
        </w:rPr>
      </w:pPr>
      <w:r>
        <w:rPr>
          <w:rFonts w:ascii="Arial"/>
          <w:b/>
          <w:i/>
          <w:sz w:val="28"/>
        </w:rPr>
        <w:t>Figure 3.2: Working Capital Financing </w:t>
      </w:r>
      <w:r>
        <w:rPr>
          <w:rFonts w:ascii="Arial"/>
          <w:b/>
          <w:i/>
          <w:spacing w:val="-2"/>
          <w:sz w:val="28"/>
        </w:rPr>
        <w:t>Approaches</w:t>
      </w:r>
    </w:p>
    <w:p>
      <w:pPr>
        <w:pStyle w:val="BodyText"/>
        <w:spacing w:before="1"/>
        <w:rPr>
          <w:rFonts w:ascii="Arial"/>
          <w:b/>
          <w:i/>
          <w:sz w:val="9"/>
        </w:rPr>
      </w:pPr>
      <w:r>
        <w:rPr>
          <w:rFonts w:ascii="Arial"/>
          <w:b/>
          <w:i/>
          <w:sz w:val="9"/>
        </w:rPr>
        <w:drawing>
          <wp:anchor distT="0" distB="0" distL="0" distR="0" allowOverlap="1" layoutInCell="1" locked="0" behindDoc="1" simplePos="0" relativeHeight="487588352">
            <wp:simplePos x="0" y="0"/>
            <wp:positionH relativeFrom="page">
              <wp:posOffset>1222552</wp:posOffset>
            </wp:positionH>
            <wp:positionV relativeFrom="paragraph">
              <wp:posOffset>81949</wp:posOffset>
            </wp:positionV>
            <wp:extent cx="5330037" cy="260604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330037" cy="2606040"/>
                    </a:xfrm>
                    <a:prstGeom prst="rect">
                      <a:avLst/>
                    </a:prstGeom>
                  </pic:spPr>
                </pic:pic>
              </a:graphicData>
            </a:graphic>
          </wp:anchor>
        </w:drawing>
      </w:r>
    </w:p>
    <w:p>
      <w:pPr>
        <w:pStyle w:val="BodyText"/>
        <w:spacing w:before="125"/>
        <w:rPr>
          <w:rFonts w:ascii="Arial"/>
          <w:b/>
          <w:i/>
          <w:sz w:val="28"/>
        </w:rPr>
      </w:pPr>
    </w:p>
    <w:p>
      <w:pPr>
        <w:pStyle w:val="Heading2"/>
        <w:numPr>
          <w:ilvl w:val="1"/>
          <w:numId w:val="3"/>
        </w:numPr>
        <w:tabs>
          <w:tab w:pos="653" w:val="left" w:leader="none"/>
        </w:tabs>
        <w:spacing w:line="240" w:lineRule="auto" w:before="1" w:after="0"/>
        <w:ind w:left="653" w:right="0" w:hanging="533"/>
        <w:jc w:val="left"/>
      </w:pPr>
      <w:r>
        <w:rPr/>
        <w:t>Key Performance Indicators for Working </w:t>
      </w:r>
      <w:r>
        <w:rPr>
          <w:spacing w:val="-2"/>
        </w:rPr>
        <w:t>Capital</w:t>
      </w:r>
    </w:p>
    <w:p>
      <w:pPr>
        <w:pStyle w:val="BodyText"/>
        <w:spacing w:before="8"/>
        <w:rPr>
          <w:rFonts w:ascii="Arial"/>
          <w:b/>
          <w:sz w:val="32"/>
        </w:rPr>
      </w:pPr>
    </w:p>
    <w:p>
      <w:pPr>
        <w:pStyle w:val="BodyText"/>
        <w:spacing w:line="208" w:lineRule="auto" w:before="0"/>
        <w:ind w:left="120" w:right="1633"/>
      </w:pPr>
      <w:r>
        <w:rPr/>
        <w:t>Effective working capital management is measured through various financial ratios and</w:t>
      </w:r>
      <w:r>
        <w:rPr>
          <w:spacing w:val="-4"/>
        </w:rPr>
        <w:t> </w:t>
      </w:r>
      <w:r>
        <w:rPr/>
        <w:t>metrics</w:t>
      </w:r>
      <w:r>
        <w:rPr>
          <w:spacing w:val="-4"/>
        </w:rPr>
        <w:t> </w:t>
      </w:r>
      <w:r>
        <w:rPr/>
        <w:t>that</w:t>
      </w:r>
      <w:r>
        <w:rPr>
          <w:spacing w:val="-4"/>
        </w:rPr>
        <w:t> </w:t>
      </w:r>
      <w:r>
        <w:rPr/>
        <w:t>provide</w:t>
      </w:r>
      <w:r>
        <w:rPr>
          <w:spacing w:val="-4"/>
        </w:rPr>
        <w:t> </w:t>
      </w:r>
      <w:r>
        <w:rPr/>
        <w:t>insights</w:t>
      </w:r>
      <w:r>
        <w:rPr>
          <w:spacing w:val="-4"/>
        </w:rPr>
        <w:t> </w:t>
      </w:r>
      <w:r>
        <w:rPr/>
        <w:t>into</w:t>
      </w:r>
      <w:r>
        <w:rPr>
          <w:spacing w:val="-4"/>
        </w:rPr>
        <w:t> </w:t>
      </w:r>
      <w:r>
        <w:rPr/>
        <w:t>liquidity,</w:t>
      </w:r>
      <w:r>
        <w:rPr>
          <w:spacing w:val="-4"/>
        </w:rPr>
        <w:t> </w:t>
      </w:r>
      <w:r>
        <w:rPr/>
        <w:t>efficiency,</w:t>
      </w:r>
      <w:r>
        <w:rPr>
          <w:spacing w:val="-4"/>
        </w:rPr>
        <w:t> </w:t>
      </w:r>
      <w:r>
        <w:rPr/>
        <w:t>and</w:t>
      </w:r>
      <w:r>
        <w:rPr>
          <w:spacing w:val="-4"/>
        </w:rPr>
        <w:t> </w:t>
      </w:r>
      <w:r>
        <w:rPr/>
        <w:t>overall</w:t>
      </w:r>
      <w:r>
        <w:rPr>
          <w:spacing w:val="-4"/>
        </w:rPr>
        <w:t> </w:t>
      </w:r>
      <w:r>
        <w:rPr/>
        <w:t>financial</w:t>
      </w:r>
      <w:r>
        <w:rPr>
          <w:spacing w:val="-4"/>
        </w:rPr>
        <w:t> </w:t>
      </w:r>
      <w:r>
        <w:rPr/>
        <w:t>health.</w:t>
      </w:r>
    </w:p>
    <w:p>
      <w:pPr>
        <w:pStyle w:val="BodyText"/>
        <w:spacing w:before="57"/>
      </w:pPr>
    </w:p>
    <w:p>
      <w:pPr>
        <w:pStyle w:val="Heading3"/>
        <w:numPr>
          <w:ilvl w:val="2"/>
          <w:numId w:val="3"/>
        </w:numPr>
        <w:tabs>
          <w:tab w:pos="820" w:val="left" w:leader="none"/>
        </w:tabs>
        <w:spacing w:line="240" w:lineRule="auto" w:before="0" w:after="0"/>
        <w:ind w:left="820" w:right="0" w:hanging="700"/>
        <w:jc w:val="left"/>
      </w:pPr>
      <w:r>
        <w:rPr/>
        <w:t>Liquidity </w:t>
      </w:r>
      <w:r>
        <w:rPr>
          <w:spacing w:val="-2"/>
        </w:rPr>
        <w:t>Ratios</w:t>
      </w:r>
    </w:p>
    <w:p>
      <w:pPr>
        <w:pStyle w:val="BodyText"/>
        <w:spacing w:line="312" w:lineRule="auto" w:before="276"/>
        <w:ind w:left="120" w:right="1942"/>
      </w:pPr>
      <w:r>
        <w:rPr>
          <w:rFonts w:ascii="Arial"/>
          <w:b/>
        </w:rPr>
        <w:t>Current</w:t>
      </w:r>
      <w:r>
        <w:rPr>
          <w:rFonts w:ascii="Arial"/>
          <w:b/>
          <w:spacing w:val="-5"/>
        </w:rPr>
        <w:t> </w:t>
      </w:r>
      <w:r>
        <w:rPr>
          <w:rFonts w:ascii="Arial"/>
          <w:b/>
        </w:rPr>
        <w:t>Ratio:</w:t>
      </w:r>
      <w:r>
        <w:rPr>
          <w:rFonts w:ascii="Arial"/>
          <w:b/>
          <w:spacing w:val="-5"/>
        </w:rPr>
        <w:t> </w:t>
      </w:r>
      <w:r>
        <w:rPr/>
        <w:t>Measures</w:t>
      </w:r>
      <w:r>
        <w:rPr>
          <w:spacing w:val="-5"/>
        </w:rPr>
        <w:t> </w:t>
      </w:r>
      <w:r>
        <w:rPr/>
        <w:t>the</w:t>
      </w:r>
      <w:r>
        <w:rPr>
          <w:spacing w:val="-5"/>
        </w:rPr>
        <w:t> </w:t>
      </w:r>
      <w:r>
        <w:rPr/>
        <w:t>company's</w:t>
      </w:r>
      <w:r>
        <w:rPr>
          <w:spacing w:val="-5"/>
        </w:rPr>
        <w:t> </w:t>
      </w:r>
      <w:r>
        <w:rPr/>
        <w:t>ability</w:t>
      </w:r>
      <w:r>
        <w:rPr>
          <w:spacing w:val="-5"/>
        </w:rPr>
        <w:t> </w:t>
      </w:r>
      <w:r>
        <w:rPr/>
        <w:t>to</w:t>
      </w:r>
      <w:r>
        <w:rPr>
          <w:spacing w:val="-5"/>
        </w:rPr>
        <w:t> </w:t>
      </w:r>
      <w:r>
        <w:rPr/>
        <w:t>pay</w:t>
      </w:r>
      <w:r>
        <w:rPr>
          <w:spacing w:val="-5"/>
        </w:rPr>
        <w:t> </w:t>
      </w:r>
      <w:r>
        <w:rPr/>
        <w:t>short-term</w:t>
      </w:r>
      <w:r>
        <w:rPr>
          <w:spacing w:val="-5"/>
        </w:rPr>
        <w:t> </w:t>
      </w:r>
      <w:r>
        <w:rPr/>
        <w:t>obligations. Current Ratio = Current Assets / Current Liabilities</w:t>
      </w:r>
    </w:p>
    <w:p>
      <w:pPr>
        <w:pStyle w:val="BodyText"/>
        <w:spacing w:after="0" w:line="312" w:lineRule="auto"/>
        <w:sectPr>
          <w:pgSz w:w="12240" w:h="15840"/>
          <w:pgMar w:top="1660" w:bottom="280" w:left="1440" w:right="0"/>
        </w:sectPr>
      </w:pPr>
    </w:p>
    <w:p>
      <w:pPr>
        <w:pStyle w:val="BodyText"/>
        <w:spacing w:line="312" w:lineRule="auto" w:before="75"/>
        <w:ind w:left="120" w:right="2163"/>
      </w:pPr>
      <w:r>
        <w:rPr>
          <w:rFonts w:ascii="Arial"/>
          <w:b/>
        </w:rPr>
        <w:t>Quick</w:t>
      </w:r>
      <w:r>
        <w:rPr>
          <w:rFonts w:ascii="Arial"/>
          <w:b/>
          <w:spacing w:val="-4"/>
        </w:rPr>
        <w:t> </w:t>
      </w:r>
      <w:r>
        <w:rPr>
          <w:rFonts w:ascii="Arial"/>
          <w:b/>
        </w:rPr>
        <w:t>Ratio:</w:t>
      </w:r>
      <w:r>
        <w:rPr>
          <w:rFonts w:ascii="Arial"/>
          <w:b/>
          <w:spacing w:val="-4"/>
        </w:rPr>
        <w:t> </w:t>
      </w:r>
      <w:r>
        <w:rPr/>
        <w:t>A</w:t>
      </w:r>
      <w:r>
        <w:rPr>
          <w:spacing w:val="-4"/>
        </w:rPr>
        <w:t> </w:t>
      </w:r>
      <w:r>
        <w:rPr/>
        <w:t>more</w:t>
      </w:r>
      <w:r>
        <w:rPr>
          <w:spacing w:val="-4"/>
        </w:rPr>
        <w:t> </w:t>
      </w:r>
      <w:r>
        <w:rPr/>
        <w:t>stringent</w:t>
      </w:r>
      <w:r>
        <w:rPr>
          <w:spacing w:val="-4"/>
        </w:rPr>
        <w:t> </w:t>
      </w:r>
      <w:r>
        <w:rPr/>
        <w:t>measure</w:t>
      </w:r>
      <w:r>
        <w:rPr>
          <w:spacing w:val="-4"/>
        </w:rPr>
        <w:t> </w:t>
      </w:r>
      <w:r>
        <w:rPr/>
        <w:t>of</w:t>
      </w:r>
      <w:r>
        <w:rPr>
          <w:spacing w:val="-4"/>
        </w:rPr>
        <w:t> </w:t>
      </w:r>
      <w:r>
        <w:rPr/>
        <w:t>liquidity</w:t>
      </w:r>
      <w:r>
        <w:rPr>
          <w:spacing w:val="-4"/>
        </w:rPr>
        <w:t> </w:t>
      </w:r>
      <w:r>
        <w:rPr/>
        <w:t>that</w:t>
      </w:r>
      <w:r>
        <w:rPr>
          <w:spacing w:val="-4"/>
        </w:rPr>
        <w:t> </w:t>
      </w:r>
      <w:r>
        <w:rPr/>
        <w:t>excludes</w:t>
      </w:r>
      <w:r>
        <w:rPr>
          <w:spacing w:val="-4"/>
        </w:rPr>
        <w:t> </w:t>
      </w:r>
      <w:r>
        <w:rPr/>
        <w:t>inventory. Quick Ratio = (Current Assets - Inventory) / Current Liabilities</w:t>
      </w:r>
    </w:p>
    <w:p>
      <w:pPr>
        <w:pStyle w:val="BodyText"/>
        <w:spacing w:line="208" w:lineRule="auto" w:before="231"/>
        <w:ind w:left="120" w:right="1942"/>
      </w:pPr>
      <w:r>
        <w:rPr>
          <w:rFonts w:ascii="Arial"/>
          <w:b/>
        </w:rPr>
        <w:t>Cash</w:t>
      </w:r>
      <w:r>
        <w:rPr>
          <w:rFonts w:ascii="Arial"/>
          <w:b/>
          <w:spacing w:val="-4"/>
        </w:rPr>
        <w:t> </w:t>
      </w:r>
      <w:r>
        <w:rPr>
          <w:rFonts w:ascii="Arial"/>
          <w:b/>
        </w:rPr>
        <w:t>Ratio:</w:t>
      </w:r>
      <w:r>
        <w:rPr>
          <w:rFonts w:ascii="Arial"/>
          <w:b/>
          <w:spacing w:val="-4"/>
        </w:rPr>
        <w:t> </w:t>
      </w:r>
      <w:r>
        <w:rPr/>
        <w:t>The</w:t>
      </w:r>
      <w:r>
        <w:rPr>
          <w:spacing w:val="-4"/>
        </w:rPr>
        <w:t> </w:t>
      </w:r>
      <w:r>
        <w:rPr/>
        <w:t>most</w:t>
      </w:r>
      <w:r>
        <w:rPr>
          <w:spacing w:val="-4"/>
        </w:rPr>
        <w:t> </w:t>
      </w:r>
      <w:r>
        <w:rPr/>
        <w:t>conservative</w:t>
      </w:r>
      <w:r>
        <w:rPr>
          <w:spacing w:val="-4"/>
        </w:rPr>
        <w:t> </w:t>
      </w:r>
      <w:r>
        <w:rPr/>
        <w:t>liquidity</w:t>
      </w:r>
      <w:r>
        <w:rPr>
          <w:spacing w:val="-4"/>
        </w:rPr>
        <w:t> </w:t>
      </w:r>
      <w:r>
        <w:rPr/>
        <w:t>measure,</w:t>
      </w:r>
      <w:r>
        <w:rPr>
          <w:spacing w:val="-4"/>
        </w:rPr>
        <w:t> </w:t>
      </w:r>
      <w:r>
        <w:rPr/>
        <w:t>considering</w:t>
      </w:r>
      <w:r>
        <w:rPr>
          <w:spacing w:val="-4"/>
        </w:rPr>
        <w:t> </w:t>
      </w:r>
      <w:r>
        <w:rPr/>
        <w:t>only</w:t>
      </w:r>
      <w:r>
        <w:rPr>
          <w:spacing w:val="-4"/>
        </w:rPr>
        <w:t> </w:t>
      </w:r>
      <w:r>
        <w:rPr/>
        <w:t>cash</w:t>
      </w:r>
      <w:r>
        <w:rPr>
          <w:spacing w:val="-4"/>
        </w:rPr>
        <w:t> </w:t>
      </w:r>
      <w:r>
        <w:rPr/>
        <w:t>and cash equivalents.</w:t>
      </w:r>
    </w:p>
    <w:p>
      <w:pPr>
        <w:pStyle w:val="BodyText"/>
        <w:spacing w:before="91"/>
        <w:ind w:left="120"/>
      </w:pPr>
      <w:r>
        <w:rPr/>
        <w:t>Cash Ratio = Cash and Cash Equivalents / Current </w:t>
      </w:r>
      <w:r>
        <w:rPr>
          <w:spacing w:val="-2"/>
        </w:rPr>
        <w:t>Liabilities</w:t>
      </w:r>
    </w:p>
    <w:p>
      <w:pPr>
        <w:pStyle w:val="BodyText"/>
        <w:spacing w:before="50"/>
      </w:pPr>
    </w:p>
    <w:p>
      <w:pPr>
        <w:pStyle w:val="Heading3"/>
        <w:numPr>
          <w:ilvl w:val="2"/>
          <w:numId w:val="3"/>
        </w:numPr>
        <w:tabs>
          <w:tab w:pos="820" w:val="left" w:leader="none"/>
        </w:tabs>
        <w:spacing w:line="240" w:lineRule="auto" w:before="0" w:after="0"/>
        <w:ind w:left="820" w:right="0" w:hanging="700"/>
        <w:jc w:val="left"/>
      </w:pPr>
      <w:r>
        <w:rPr/>
        <w:t>Efficiency </w:t>
      </w:r>
      <w:r>
        <w:rPr>
          <w:spacing w:val="-2"/>
        </w:rPr>
        <w:t>Ratios</w:t>
      </w:r>
    </w:p>
    <w:p>
      <w:pPr>
        <w:spacing w:line="208" w:lineRule="auto" w:before="305"/>
        <w:ind w:left="120" w:right="1633" w:firstLine="0"/>
        <w:jc w:val="left"/>
        <w:rPr>
          <w:sz w:val="24"/>
        </w:rPr>
      </w:pPr>
      <w:r>
        <w:rPr>
          <w:rFonts w:ascii="Arial"/>
          <w:b/>
          <w:sz w:val="24"/>
        </w:rPr>
        <w:t>Inventory</w:t>
      </w:r>
      <w:r>
        <w:rPr>
          <w:rFonts w:ascii="Arial"/>
          <w:b/>
          <w:spacing w:val="-5"/>
          <w:sz w:val="24"/>
        </w:rPr>
        <w:t> </w:t>
      </w:r>
      <w:r>
        <w:rPr>
          <w:rFonts w:ascii="Arial"/>
          <w:b/>
          <w:sz w:val="24"/>
        </w:rPr>
        <w:t>Turnover</w:t>
      </w:r>
      <w:r>
        <w:rPr>
          <w:rFonts w:ascii="Arial"/>
          <w:b/>
          <w:spacing w:val="-5"/>
          <w:sz w:val="24"/>
        </w:rPr>
        <w:t> </w:t>
      </w:r>
      <w:r>
        <w:rPr>
          <w:rFonts w:ascii="Arial"/>
          <w:b/>
          <w:sz w:val="24"/>
        </w:rPr>
        <w:t>Ratio:</w:t>
      </w:r>
      <w:r>
        <w:rPr>
          <w:rFonts w:ascii="Arial"/>
          <w:b/>
          <w:spacing w:val="-5"/>
          <w:sz w:val="24"/>
        </w:rPr>
        <w:t> </w:t>
      </w:r>
      <w:r>
        <w:rPr>
          <w:sz w:val="24"/>
        </w:rPr>
        <w:t>Measures</w:t>
      </w:r>
      <w:r>
        <w:rPr>
          <w:spacing w:val="-5"/>
          <w:sz w:val="24"/>
        </w:rPr>
        <w:t> </w:t>
      </w:r>
      <w:r>
        <w:rPr>
          <w:sz w:val="24"/>
        </w:rPr>
        <w:t>how</w:t>
      </w:r>
      <w:r>
        <w:rPr>
          <w:spacing w:val="-5"/>
          <w:sz w:val="24"/>
        </w:rPr>
        <w:t> </w:t>
      </w:r>
      <w:r>
        <w:rPr>
          <w:sz w:val="24"/>
        </w:rPr>
        <w:t>efficiently</w:t>
      </w:r>
      <w:r>
        <w:rPr>
          <w:spacing w:val="-5"/>
          <w:sz w:val="24"/>
        </w:rPr>
        <w:t> </w:t>
      </w:r>
      <w:r>
        <w:rPr>
          <w:sz w:val="24"/>
        </w:rPr>
        <w:t>a</w:t>
      </w:r>
      <w:r>
        <w:rPr>
          <w:spacing w:val="-5"/>
          <w:sz w:val="24"/>
        </w:rPr>
        <w:t> </w:t>
      </w:r>
      <w:r>
        <w:rPr>
          <w:sz w:val="24"/>
        </w:rPr>
        <w:t>company</w:t>
      </w:r>
      <w:r>
        <w:rPr>
          <w:spacing w:val="-5"/>
          <w:sz w:val="24"/>
        </w:rPr>
        <w:t> </w:t>
      </w:r>
      <w:r>
        <w:rPr>
          <w:sz w:val="24"/>
        </w:rPr>
        <w:t>manages</w:t>
      </w:r>
      <w:r>
        <w:rPr>
          <w:spacing w:val="-5"/>
          <w:sz w:val="24"/>
        </w:rPr>
        <w:t> </w:t>
      </w:r>
      <w:r>
        <w:rPr>
          <w:sz w:val="24"/>
        </w:rPr>
        <w:t>its </w:t>
      </w:r>
      <w:r>
        <w:rPr>
          <w:spacing w:val="-2"/>
          <w:sz w:val="24"/>
        </w:rPr>
        <w:t>inventory.</w:t>
      </w:r>
    </w:p>
    <w:p>
      <w:pPr>
        <w:pStyle w:val="BodyText"/>
        <w:spacing w:before="91"/>
        <w:ind w:left="120"/>
      </w:pPr>
      <w:r>
        <w:rPr/>
        <w:t>Inventory Turnover = Cost of Goods Sold / Average </w:t>
      </w:r>
      <w:r>
        <w:rPr>
          <w:spacing w:val="-2"/>
        </w:rPr>
        <w:t>Inventory</w:t>
      </w:r>
    </w:p>
    <w:p>
      <w:pPr>
        <w:pStyle w:val="BodyText"/>
        <w:spacing w:before="37"/>
      </w:pPr>
    </w:p>
    <w:p>
      <w:pPr>
        <w:spacing w:line="208" w:lineRule="auto" w:before="0"/>
        <w:ind w:left="120" w:right="1633" w:firstLine="0"/>
        <w:jc w:val="left"/>
        <w:rPr>
          <w:sz w:val="24"/>
        </w:rPr>
      </w:pPr>
      <w:r>
        <w:rPr>
          <w:rFonts w:ascii="Arial"/>
          <w:b/>
          <w:sz w:val="24"/>
        </w:rPr>
        <w:t>Receivables</w:t>
      </w:r>
      <w:r>
        <w:rPr>
          <w:rFonts w:ascii="Arial"/>
          <w:b/>
          <w:spacing w:val="-5"/>
          <w:sz w:val="24"/>
        </w:rPr>
        <w:t> </w:t>
      </w:r>
      <w:r>
        <w:rPr>
          <w:rFonts w:ascii="Arial"/>
          <w:b/>
          <w:sz w:val="24"/>
        </w:rPr>
        <w:t>Turnover</w:t>
      </w:r>
      <w:r>
        <w:rPr>
          <w:rFonts w:ascii="Arial"/>
          <w:b/>
          <w:spacing w:val="-5"/>
          <w:sz w:val="24"/>
        </w:rPr>
        <w:t> </w:t>
      </w:r>
      <w:r>
        <w:rPr>
          <w:rFonts w:ascii="Arial"/>
          <w:b/>
          <w:sz w:val="24"/>
        </w:rPr>
        <w:t>Ratio:</w:t>
      </w:r>
      <w:r>
        <w:rPr>
          <w:rFonts w:ascii="Arial"/>
          <w:b/>
          <w:spacing w:val="-5"/>
          <w:sz w:val="24"/>
        </w:rPr>
        <w:t> </w:t>
      </w:r>
      <w:r>
        <w:rPr>
          <w:sz w:val="24"/>
        </w:rPr>
        <w:t>Indicates</w:t>
      </w:r>
      <w:r>
        <w:rPr>
          <w:spacing w:val="-5"/>
          <w:sz w:val="24"/>
        </w:rPr>
        <w:t> </w:t>
      </w:r>
      <w:r>
        <w:rPr>
          <w:sz w:val="24"/>
        </w:rPr>
        <w:t>how</w:t>
      </w:r>
      <w:r>
        <w:rPr>
          <w:spacing w:val="-5"/>
          <w:sz w:val="24"/>
        </w:rPr>
        <w:t> </w:t>
      </w:r>
      <w:r>
        <w:rPr>
          <w:sz w:val="24"/>
        </w:rPr>
        <w:t>efficiently</w:t>
      </w:r>
      <w:r>
        <w:rPr>
          <w:spacing w:val="-5"/>
          <w:sz w:val="24"/>
        </w:rPr>
        <w:t> </w:t>
      </w:r>
      <w:r>
        <w:rPr>
          <w:sz w:val="24"/>
        </w:rPr>
        <w:t>a</w:t>
      </w:r>
      <w:r>
        <w:rPr>
          <w:spacing w:val="-5"/>
          <w:sz w:val="24"/>
        </w:rPr>
        <w:t> </w:t>
      </w:r>
      <w:r>
        <w:rPr>
          <w:sz w:val="24"/>
        </w:rPr>
        <w:t>company</w:t>
      </w:r>
      <w:r>
        <w:rPr>
          <w:spacing w:val="-5"/>
          <w:sz w:val="24"/>
        </w:rPr>
        <w:t> </w:t>
      </w:r>
      <w:r>
        <w:rPr>
          <w:sz w:val="24"/>
        </w:rPr>
        <w:t>collects</w:t>
      </w:r>
      <w:r>
        <w:rPr>
          <w:spacing w:val="-5"/>
          <w:sz w:val="24"/>
        </w:rPr>
        <w:t> </w:t>
      </w:r>
      <w:r>
        <w:rPr>
          <w:sz w:val="24"/>
        </w:rPr>
        <w:t>revenue from credit sales.</w:t>
      </w:r>
    </w:p>
    <w:p>
      <w:pPr>
        <w:pStyle w:val="BodyText"/>
        <w:spacing w:before="91"/>
        <w:ind w:left="120"/>
      </w:pPr>
      <w:r>
        <w:rPr/>
        <w:t>Receivables Turnover = Revenue / Average Accounts </w:t>
      </w:r>
      <w:r>
        <w:rPr>
          <w:spacing w:val="-2"/>
        </w:rPr>
        <w:t>Receivable</w:t>
      </w:r>
    </w:p>
    <w:p>
      <w:pPr>
        <w:pStyle w:val="BodyText"/>
        <w:spacing w:before="7"/>
      </w:pPr>
    </w:p>
    <w:p>
      <w:pPr>
        <w:pStyle w:val="BodyText"/>
        <w:spacing w:line="312" w:lineRule="auto" w:before="1"/>
        <w:ind w:left="120" w:right="1633"/>
      </w:pPr>
      <w:r>
        <w:rPr>
          <w:rFonts w:ascii="Arial"/>
          <w:b/>
        </w:rPr>
        <w:t>Payables</w:t>
      </w:r>
      <w:r>
        <w:rPr>
          <w:rFonts w:ascii="Arial"/>
          <w:b/>
          <w:spacing w:val="-4"/>
        </w:rPr>
        <w:t> </w:t>
      </w:r>
      <w:r>
        <w:rPr>
          <w:rFonts w:ascii="Arial"/>
          <w:b/>
        </w:rPr>
        <w:t>Turnover</w:t>
      </w:r>
      <w:r>
        <w:rPr>
          <w:rFonts w:ascii="Arial"/>
          <w:b/>
          <w:spacing w:val="-4"/>
        </w:rPr>
        <w:t> </w:t>
      </w:r>
      <w:r>
        <w:rPr>
          <w:rFonts w:ascii="Arial"/>
          <w:b/>
        </w:rPr>
        <w:t>Ratio:</w:t>
      </w:r>
      <w:r>
        <w:rPr>
          <w:rFonts w:ascii="Arial"/>
          <w:b/>
          <w:spacing w:val="-4"/>
        </w:rPr>
        <w:t> </w:t>
      </w:r>
      <w:r>
        <w:rPr/>
        <w:t>Reflects</w:t>
      </w:r>
      <w:r>
        <w:rPr>
          <w:spacing w:val="-4"/>
        </w:rPr>
        <w:t> </w:t>
      </w:r>
      <w:r>
        <w:rPr/>
        <w:t>how</w:t>
      </w:r>
      <w:r>
        <w:rPr>
          <w:spacing w:val="-4"/>
        </w:rPr>
        <w:t> </w:t>
      </w:r>
      <w:r>
        <w:rPr/>
        <w:t>quickly</w:t>
      </w:r>
      <w:r>
        <w:rPr>
          <w:spacing w:val="-4"/>
        </w:rPr>
        <w:t> </w:t>
      </w:r>
      <w:r>
        <w:rPr/>
        <w:t>a</w:t>
      </w:r>
      <w:r>
        <w:rPr>
          <w:spacing w:val="-4"/>
        </w:rPr>
        <w:t> </w:t>
      </w:r>
      <w:r>
        <w:rPr/>
        <w:t>company</w:t>
      </w:r>
      <w:r>
        <w:rPr>
          <w:spacing w:val="-4"/>
        </w:rPr>
        <w:t> </w:t>
      </w:r>
      <w:r>
        <w:rPr/>
        <w:t>pays</w:t>
      </w:r>
      <w:r>
        <w:rPr>
          <w:spacing w:val="-4"/>
        </w:rPr>
        <w:t> </w:t>
      </w:r>
      <w:r>
        <w:rPr/>
        <w:t>its</w:t>
      </w:r>
      <w:r>
        <w:rPr>
          <w:spacing w:val="-4"/>
        </w:rPr>
        <w:t> </w:t>
      </w:r>
      <w:r>
        <w:rPr/>
        <w:t>suppliers. Payables Turnover = Cost of Goods Sold / Average Accounts Payable</w:t>
      </w:r>
    </w:p>
    <w:p>
      <w:pPr>
        <w:spacing w:line="208" w:lineRule="auto" w:before="231"/>
        <w:ind w:left="120" w:right="1633" w:firstLine="0"/>
        <w:jc w:val="left"/>
        <w:rPr>
          <w:sz w:val="24"/>
        </w:rPr>
      </w:pPr>
      <w:r>
        <w:rPr>
          <w:rFonts w:ascii="Arial"/>
          <w:b/>
          <w:sz w:val="24"/>
        </w:rPr>
        <w:t>Working</w:t>
      </w:r>
      <w:r>
        <w:rPr>
          <w:rFonts w:ascii="Arial"/>
          <w:b/>
          <w:spacing w:val="-4"/>
          <w:sz w:val="24"/>
        </w:rPr>
        <w:t> </w:t>
      </w:r>
      <w:r>
        <w:rPr>
          <w:rFonts w:ascii="Arial"/>
          <w:b/>
          <w:sz w:val="24"/>
        </w:rPr>
        <w:t>Capital</w:t>
      </w:r>
      <w:r>
        <w:rPr>
          <w:rFonts w:ascii="Arial"/>
          <w:b/>
          <w:spacing w:val="-4"/>
          <w:sz w:val="24"/>
        </w:rPr>
        <w:t> </w:t>
      </w:r>
      <w:r>
        <w:rPr>
          <w:rFonts w:ascii="Arial"/>
          <w:b/>
          <w:sz w:val="24"/>
        </w:rPr>
        <w:t>Turnover</w:t>
      </w:r>
      <w:r>
        <w:rPr>
          <w:rFonts w:ascii="Arial"/>
          <w:b/>
          <w:spacing w:val="-4"/>
          <w:sz w:val="24"/>
        </w:rPr>
        <w:t> </w:t>
      </w:r>
      <w:r>
        <w:rPr>
          <w:rFonts w:ascii="Arial"/>
          <w:b/>
          <w:sz w:val="24"/>
        </w:rPr>
        <w:t>Ratio:</w:t>
      </w:r>
      <w:r>
        <w:rPr>
          <w:rFonts w:ascii="Arial"/>
          <w:b/>
          <w:spacing w:val="-4"/>
          <w:sz w:val="24"/>
        </w:rPr>
        <w:t> </w:t>
      </w:r>
      <w:r>
        <w:rPr>
          <w:sz w:val="24"/>
        </w:rPr>
        <w:t>Measures</w:t>
      </w:r>
      <w:r>
        <w:rPr>
          <w:spacing w:val="-4"/>
          <w:sz w:val="24"/>
        </w:rPr>
        <w:t> </w:t>
      </w:r>
      <w:r>
        <w:rPr>
          <w:sz w:val="24"/>
        </w:rPr>
        <w:t>how</w:t>
      </w:r>
      <w:r>
        <w:rPr>
          <w:spacing w:val="-4"/>
          <w:sz w:val="24"/>
        </w:rPr>
        <w:t> </w:t>
      </w:r>
      <w:r>
        <w:rPr>
          <w:sz w:val="24"/>
        </w:rPr>
        <w:t>effectively</w:t>
      </w:r>
      <w:r>
        <w:rPr>
          <w:spacing w:val="-4"/>
          <w:sz w:val="24"/>
        </w:rPr>
        <w:t> </w:t>
      </w:r>
      <w:r>
        <w:rPr>
          <w:sz w:val="24"/>
        </w:rPr>
        <w:t>a</w:t>
      </w:r>
      <w:r>
        <w:rPr>
          <w:spacing w:val="-4"/>
          <w:sz w:val="24"/>
        </w:rPr>
        <w:t> </w:t>
      </w:r>
      <w:r>
        <w:rPr>
          <w:sz w:val="24"/>
        </w:rPr>
        <w:t>company</w:t>
      </w:r>
      <w:r>
        <w:rPr>
          <w:spacing w:val="-4"/>
          <w:sz w:val="24"/>
        </w:rPr>
        <w:t> </w:t>
      </w:r>
      <w:r>
        <w:rPr>
          <w:sz w:val="24"/>
        </w:rPr>
        <w:t>utilizes</w:t>
      </w:r>
      <w:r>
        <w:rPr>
          <w:spacing w:val="-4"/>
          <w:sz w:val="24"/>
        </w:rPr>
        <w:t> </w:t>
      </w:r>
      <w:r>
        <w:rPr>
          <w:sz w:val="24"/>
        </w:rPr>
        <w:t>its working capital to generate revenue.</w:t>
      </w:r>
    </w:p>
    <w:p>
      <w:pPr>
        <w:pStyle w:val="BodyText"/>
        <w:spacing w:before="91"/>
        <w:ind w:left="120"/>
      </w:pPr>
      <w:r>
        <w:rPr/>
        <w:t>Working Capital Turnover = Revenue / Average Working </w:t>
      </w:r>
      <w:r>
        <w:rPr>
          <w:spacing w:val="-2"/>
        </w:rPr>
        <w:t>Capital</w:t>
      </w:r>
    </w:p>
    <w:p>
      <w:pPr>
        <w:pStyle w:val="BodyText"/>
        <w:spacing w:before="50"/>
      </w:pPr>
    </w:p>
    <w:p>
      <w:pPr>
        <w:pStyle w:val="Heading3"/>
        <w:numPr>
          <w:ilvl w:val="2"/>
          <w:numId w:val="3"/>
        </w:numPr>
        <w:tabs>
          <w:tab w:pos="820" w:val="left" w:leader="none"/>
        </w:tabs>
        <w:spacing w:line="240" w:lineRule="auto" w:before="0" w:after="0"/>
        <w:ind w:left="820" w:right="0" w:hanging="700"/>
        <w:jc w:val="left"/>
      </w:pPr>
      <w:r>
        <w:rPr/>
        <w:t>Cash Conversion Cycle </w:t>
      </w:r>
      <w:r>
        <w:rPr>
          <w:spacing w:val="-2"/>
        </w:rPr>
        <w:t>Components</w:t>
      </w:r>
    </w:p>
    <w:p>
      <w:pPr>
        <w:pStyle w:val="BodyText"/>
        <w:spacing w:before="276"/>
        <w:ind w:left="120"/>
      </w:pPr>
      <w:r>
        <w:rPr/>
        <w:t>As discussed earlier, the Cash Conversion Cycle comprises three key </w:t>
      </w:r>
      <w:r>
        <w:rPr>
          <w:spacing w:val="-2"/>
        </w:rPr>
        <w:t>components:</w:t>
      </w:r>
    </w:p>
    <w:p>
      <w:pPr>
        <w:pStyle w:val="BodyText"/>
        <w:spacing w:before="37"/>
      </w:pPr>
    </w:p>
    <w:p>
      <w:pPr>
        <w:spacing w:line="208" w:lineRule="auto" w:before="0"/>
        <w:ind w:left="120" w:right="1633" w:firstLine="0"/>
        <w:jc w:val="left"/>
        <w:rPr>
          <w:sz w:val="24"/>
        </w:rPr>
      </w:pPr>
      <w:r>
        <w:rPr>
          <w:rFonts w:ascii="Arial"/>
          <w:b/>
          <w:sz w:val="24"/>
        </w:rPr>
        <w:t>Days</w:t>
      </w:r>
      <w:r>
        <w:rPr>
          <w:rFonts w:ascii="Arial"/>
          <w:b/>
          <w:spacing w:val="-4"/>
          <w:sz w:val="24"/>
        </w:rPr>
        <w:t> </w:t>
      </w:r>
      <w:r>
        <w:rPr>
          <w:rFonts w:ascii="Arial"/>
          <w:b/>
          <w:sz w:val="24"/>
        </w:rPr>
        <w:t>Inventory</w:t>
      </w:r>
      <w:r>
        <w:rPr>
          <w:rFonts w:ascii="Arial"/>
          <w:b/>
          <w:spacing w:val="-4"/>
          <w:sz w:val="24"/>
        </w:rPr>
        <w:t> </w:t>
      </w:r>
      <w:r>
        <w:rPr>
          <w:rFonts w:ascii="Arial"/>
          <w:b/>
          <w:sz w:val="24"/>
        </w:rPr>
        <w:t>Outstanding</w:t>
      </w:r>
      <w:r>
        <w:rPr>
          <w:rFonts w:ascii="Arial"/>
          <w:b/>
          <w:spacing w:val="-4"/>
          <w:sz w:val="24"/>
        </w:rPr>
        <w:t> </w:t>
      </w:r>
      <w:r>
        <w:rPr>
          <w:rFonts w:ascii="Arial"/>
          <w:b/>
          <w:sz w:val="24"/>
        </w:rPr>
        <w:t>(DIO):</w:t>
      </w:r>
      <w:r>
        <w:rPr>
          <w:rFonts w:ascii="Arial"/>
          <w:b/>
          <w:spacing w:val="-4"/>
          <w:sz w:val="24"/>
        </w:rPr>
        <w:t> </w:t>
      </w:r>
      <w:r>
        <w:rPr>
          <w:sz w:val="24"/>
        </w:rPr>
        <w:t>The</w:t>
      </w:r>
      <w:r>
        <w:rPr>
          <w:spacing w:val="-4"/>
          <w:sz w:val="24"/>
        </w:rPr>
        <w:t> </w:t>
      </w:r>
      <w:r>
        <w:rPr>
          <w:sz w:val="24"/>
        </w:rPr>
        <w:t>average</w:t>
      </w:r>
      <w:r>
        <w:rPr>
          <w:spacing w:val="-4"/>
          <w:sz w:val="24"/>
        </w:rPr>
        <w:t> </w:t>
      </w:r>
      <w:r>
        <w:rPr>
          <w:sz w:val="24"/>
        </w:rPr>
        <w:t>number</w:t>
      </w:r>
      <w:r>
        <w:rPr>
          <w:spacing w:val="-4"/>
          <w:sz w:val="24"/>
        </w:rPr>
        <w:t> </w:t>
      </w:r>
      <w:r>
        <w:rPr>
          <w:sz w:val="24"/>
        </w:rPr>
        <w:t>of</w:t>
      </w:r>
      <w:r>
        <w:rPr>
          <w:spacing w:val="-4"/>
          <w:sz w:val="24"/>
        </w:rPr>
        <w:t> </w:t>
      </w:r>
      <w:r>
        <w:rPr>
          <w:sz w:val="24"/>
        </w:rPr>
        <w:t>days</w:t>
      </w:r>
      <w:r>
        <w:rPr>
          <w:spacing w:val="-4"/>
          <w:sz w:val="24"/>
        </w:rPr>
        <w:t> </w:t>
      </w:r>
      <w:r>
        <w:rPr>
          <w:sz w:val="24"/>
        </w:rPr>
        <w:t>it</w:t>
      </w:r>
      <w:r>
        <w:rPr>
          <w:spacing w:val="-4"/>
          <w:sz w:val="24"/>
        </w:rPr>
        <w:t> </w:t>
      </w:r>
      <w:r>
        <w:rPr>
          <w:sz w:val="24"/>
        </w:rPr>
        <w:t>takes</w:t>
      </w:r>
      <w:r>
        <w:rPr>
          <w:spacing w:val="-4"/>
          <w:sz w:val="24"/>
        </w:rPr>
        <w:t> </w:t>
      </w:r>
      <w:r>
        <w:rPr>
          <w:sz w:val="24"/>
        </w:rPr>
        <w:t>to</w:t>
      </w:r>
      <w:r>
        <w:rPr>
          <w:spacing w:val="-4"/>
          <w:sz w:val="24"/>
        </w:rPr>
        <w:t> </w:t>
      </w:r>
      <w:r>
        <w:rPr>
          <w:sz w:val="24"/>
        </w:rPr>
        <w:t>sell </w:t>
      </w:r>
      <w:r>
        <w:rPr>
          <w:spacing w:val="-2"/>
          <w:sz w:val="24"/>
        </w:rPr>
        <w:t>inventory.</w:t>
      </w:r>
    </w:p>
    <w:p>
      <w:pPr>
        <w:pStyle w:val="BodyText"/>
        <w:spacing w:before="91"/>
        <w:ind w:left="120"/>
      </w:pPr>
      <w:r>
        <w:rPr/>
        <w:t>DIO = (Average Inventory / Cost of Goods Sold) × </w:t>
      </w:r>
      <w:r>
        <w:rPr>
          <w:spacing w:val="-5"/>
        </w:rPr>
        <w:t>365</w:t>
      </w:r>
    </w:p>
    <w:p>
      <w:pPr>
        <w:pStyle w:val="BodyText"/>
        <w:spacing w:before="37"/>
      </w:pPr>
    </w:p>
    <w:p>
      <w:pPr>
        <w:spacing w:line="208" w:lineRule="auto" w:before="0"/>
        <w:ind w:left="120" w:right="1633" w:firstLine="0"/>
        <w:jc w:val="left"/>
        <w:rPr>
          <w:sz w:val="24"/>
        </w:rPr>
      </w:pPr>
      <w:r>
        <w:rPr>
          <w:rFonts w:ascii="Arial"/>
          <w:b/>
          <w:sz w:val="24"/>
        </w:rPr>
        <w:t>Days</w:t>
      </w:r>
      <w:r>
        <w:rPr>
          <w:rFonts w:ascii="Arial"/>
          <w:b/>
          <w:spacing w:val="-4"/>
          <w:sz w:val="24"/>
        </w:rPr>
        <w:t> </w:t>
      </w:r>
      <w:r>
        <w:rPr>
          <w:rFonts w:ascii="Arial"/>
          <w:b/>
          <w:sz w:val="24"/>
        </w:rPr>
        <w:t>Sales</w:t>
      </w:r>
      <w:r>
        <w:rPr>
          <w:rFonts w:ascii="Arial"/>
          <w:b/>
          <w:spacing w:val="-4"/>
          <w:sz w:val="24"/>
        </w:rPr>
        <w:t> </w:t>
      </w:r>
      <w:r>
        <w:rPr>
          <w:rFonts w:ascii="Arial"/>
          <w:b/>
          <w:sz w:val="24"/>
        </w:rPr>
        <w:t>Outstanding</w:t>
      </w:r>
      <w:r>
        <w:rPr>
          <w:rFonts w:ascii="Arial"/>
          <w:b/>
          <w:spacing w:val="-4"/>
          <w:sz w:val="24"/>
        </w:rPr>
        <w:t> </w:t>
      </w:r>
      <w:r>
        <w:rPr>
          <w:rFonts w:ascii="Arial"/>
          <w:b/>
          <w:sz w:val="24"/>
        </w:rPr>
        <w:t>(DSO):</w:t>
      </w:r>
      <w:r>
        <w:rPr>
          <w:rFonts w:ascii="Arial"/>
          <w:b/>
          <w:spacing w:val="-4"/>
          <w:sz w:val="24"/>
        </w:rPr>
        <w:t> </w:t>
      </w:r>
      <w:r>
        <w:rPr>
          <w:sz w:val="24"/>
        </w:rPr>
        <w:t>The</w:t>
      </w:r>
      <w:r>
        <w:rPr>
          <w:spacing w:val="-4"/>
          <w:sz w:val="24"/>
        </w:rPr>
        <w:t> </w:t>
      </w:r>
      <w:r>
        <w:rPr>
          <w:sz w:val="24"/>
        </w:rPr>
        <w:t>average</w:t>
      </w:r>
      <w:r>
        <w:rPr>
          <w:spacing w:val="-4"/>
          <w:sz w:val="24"/>
        </w:rPr>
        <w:t> </w:t>
      </w:r>
      <w:r>
        <w:rPr>
          <w:sz w:val="24"/>
        </w:rPr>
        <w:t>number</w:t>
      </w:r>
      <w:r>
        <w:rPr>
          <w:spacing w:val="-4"/>
          <w:sz w:val="24"/>
        </w:rPr>
        <w:t> </w:t>
      </w:r>
      <w:r>
        <w:rPr>
          <w:sz w:val="24"/>
        </w:rPr>
        <w:t>of</w:t>
      </w:r>
      <w:r>
        <w:rPr>
          <w:spacing w:val="-4"/>
          <w:sz w:val="24"/>
        </w:rPr>
        <w:t> </w:t>
      </w:r>
      <w:r>
        <w:rPr>
          <w:sz w:val="24"/>
        </w:rPr>
        <w:t>days</w:t>
      </w:r>
      <w:r>
        <w:rPr>
          <w:spacing w:val="-4"/>
          <w:sz w:val="24"/>
        </w:rPr>
        <w:t> </w:t>
      </w:r>
      <w:r>
        <w:rPr>
          <w:sz w:val="24"/>
        </w:rPr>
        <w:t>it</w:t>
      </w:r>
      <w:r>
        <w:rPr>
          <w:spacing w:val="-4"/>
          <w:sz w:val="24"/>
        </w:rPr>
        <w:t> </w:t>
      </w:r>
      <w:r>
        <w:rPr>
          <w:sz w:val="24"/>
        </w:rPr>
        <w:t>takes</w:t>
      </w:r>
      <w:r>
        <w:rPr>
          <w:spacing w:val="-4"/>
          <w:sz w:val="24"/>
        </w:rPr>
        <w:t> </w:t>
      </w:r>
      <w:r>
        <w:rPr>
          <w:sz w:val="24"/>
        </w:rPr>
        <w:t>to</w:t>
      </w:r>
      <w:r>
        <w:rPr>
          <w:spacing w:val="-4"/>
          <w:sz w:val="24"/>
        </w:rPr>
        <w:t> </w:t>
      </w:r>
      <w:r>
        <w:rPr>
          <w:sz w:val="24"/>
        </w:rPr>
        <w:t>collect payment after a sale.</w:t>
      </w:r>
    </w:p>
    <w:p>
      <w:pPr>
        <w:pStyle w:val="BodyText"/>
        <w:spacing w:before="91"/>
        <w:ind w:left="120"/>
      </w:pPr>
      <w:r>
        <w:rPr/>
        <w:t>DSO = (Average Accounts Receivable / Revenue) × </w:t>
      </w:r>
      <w:r>
        <w:rPr>
          <w:spacing w:val="-5"/>
        </w:rPr>
        <w:t>365</w:t>
      </w:r>
    </w:p>
    <w:p>
      <w:pPr>
        <w:pStyle w:val="BodyText"/>
        <w:spacing w:before="37"/>
      </w:pPr>
    </w:p>
    <w:p>
      <w:pPr>
        <w:spacing w:line="208" w:lineRule="auto" w:before="0"/>
        <w:ind w:left="120" w:right="1633" w:firstLine="0"/>
        <w:jc w:val="left"/>
        <w:rPr>
          <w:sz w:val="24"/>
        </w:rPr>
      </w:pPr>
      <w:r>
        <w:rPr>
          <w:rFonts w:ascii="Arial"/>
          <w:b/>
          <w:sz w:val="24"/>
        </w:rPr>
        <w:t>Days</w:t>
      </w:r>
      <w:r>
        <w:rPr>
          <w:rFonts w:ascii="Arial"/>
          <w:b/>
          <w:spacing w:val="-4"/>
          <w:sz w:val="24"/>
        </w:rPr>
        <w:t> </w:t>
      </w:r>
      <w:r>
        <w:rPr>
          <w:rFonts w:ascii="Arial"/>
          <w:b/>
          <w:sz w:val="24"/>
        </w:rPr>
        <w:t>Payables</w:t>
      </w:r>
      <w:r>
        <w:rPr>
          <w:rFonts w:ascii="Arial"/>
          <w:b/>
          <w:spacing w:val="-4"/>
          <w:sz w:val="24"/>
        </w:rPr>
        <w:t> </w:t>
      </w:r>
      <w:r>
        <w:rPr>
          <w:rFonts w:ascii="Arial"/>
          <w:b/>
          <w:sz w:val="24"/>
        </w:rPr>
        <w:t>Outstanding</w:t>
      </w:r>
      <w:r>
        <w:rPr>
          <w:rFonts w:ascii="Arial"/>
          <w:b/>
          <w:spacing w:val="-4"/>
          <w:sz w:val="24"/>
        </w:rPr>
        <w:t> </w:t>
      </w:r>
      <w:r>
        <w:rPr>
          <w:rFonts w:ascii="Arial"/>
          <w:b/>
          <w:sz w:val="24"/>
        </w:rPr>
        <w:t>(DPO):</w:t>
      </w:r>
      <w:r>
        <w:rPr>
          <w:rFonts w:ascii="Arial"/>
          <w:b/>
          <w:spacing w:val="-4"/>
          <w:sz w:val="24"/>
        </w:rPr>
        <w:t> </w:t>
      </w:r>
      <w:r>
        <w:rPr>
          <w:sz w:val="24"/>
        </w:rPr>
        <w:t>The</w:t>
      </w:r>
      <w:r>
        <w:rPr>
          <w:spacing w:val="-4"/>
          <w:sz w:val="24"/>
        </w:rPr>
        <w:t> </w:t>
      </w:r>
      <w:r>
        <w:rPr>
          <w:sz w:val="24"/>
        </w:rPr>
        <w:t>average</w:t>
      </w:r>
      <w:r>
        <w:rPr>
          <w:spacing w:val="-4"/>
          <w:sz w:val="24"/>
        </w:rPr>
        <w:t> </w:t>
      </w:r>
      <w:r>
        <w:rPr>
          <w:sz w:val="24"/>
        </w:rPr>
        <w:t>number</w:t>
      </w:r>
      <w:r>
        <w:rPr>
          <w:spacing w:val="-4"/>
          <w:sz w:val="24"/>
        </w:rPr>
        <w:t> </w:t>
      </w:r>
      <w:r>
        <w:rPr>
          <w:sz w:val="24"/>
        </w:rPr>
        <w:t>of</w:t>
      </w:r>
      <w:r>
        <w:rPr>
          <w:spacing w:val="-4"/>
          <w:sz w:val="24"/>
        </w:rPr>
        <w:t> </w:t>
      </w:r>
      <w:r>
        <w:rPr>
          <w:sz w:val="24"/>
        </w:rPr>
        <w:t>days</w:t>
      </w:r>
      <w:r>
        <w:rPr>
          <w:spacing w:val="-4"/>
          <w:sz w:val="24"/>
        </w:rPr>
        <w:t> </w:t>
      </w:r>
      <w:r>
        <w:rPr>
          <w:sz w:val="24"/>
        </w:rPr>
        <w:t>the</w:t>
      </w:r>
      <w:r>
        <w:rPr>
          <w:spacing w:val="-4"/>
          <w:sz w:val="24"/>
        </w:rPr>
        <w:t> </w:t>
      </w:r>
      <w:r>
        <w:rPr>
          <w:sz w:val="24"/>
        </w:rPr>
        <w:t>company takes to pay its suppliers.</w:t>
      </w:r>
    </w:p>
    <w:p>
      <w:pPr>
        <w:pStyle w:val="BodyText"/>
        <w:spacing w:before="90"/>
        <w:ind w:left="120"/>
      </w:pPr>
      <w:r>
        <w:rPr/>
        <w:t>DPO = (Average Accounts Payable / Cost of Goods Sold) × </w:t>
      </w:r>
      <w:r>
        <w:rPr>
          <w:spacing w:val="-5"/>
        </w:rPr>
        <w:t>365</w:t>
      </w:r>
    </w:p>
    <w:p>
      <w:pPr>
        <w:pStyle w:val="BodyText"/>
        <w:spacing w:before="93"/>
      </w:pPr>
    </w:p>
    <w:p>
      <w:pPr>
        <w:pStyle w:val="Heading2"/>
        <w:numPr>
          <w:ilvl w:val="1"/>
          <w:numId w:val="3"/>
        </w:numPr>
        <w:tabs>
          <w:tab w:pos="653" w:val="left" w:leader="none"/>
        </w:tabs>
        <w:spacing w:line="240" w:lineRule="auto" w:before="1" w:after="0"/>
        <w:ind w:left="653" w:right="0" w:hanging="533"/>
        <w:jc w:val="left"/>
      </w:pPr>
      <w:r>
        <w:rPr/>
        <w:t>Industry-Specific </w:t>
      </w:r>
      <w:r>
        <w:rPr>
          <w:spacing w:val="-2"/>
        </w:rPr>
        <w:t>Considerations</w:t>
      </w:r>
    </w:p>
    <w:p>
      <w:pPr>
        <w:pStyle w:val="Heading2"/>
        <w:spacing w:after="0" w:line="240" w:lineRule="auto"/>
        <w:jc w:val="left"/>
        <w:sectPr>
          <w:pgSz w:w="12240" w:h="15840"/>
          <w:pgMar w:top="1500" w:bottom="280" w:left="1440" w:right="0"/>
        </w:sectPr>
      </w:pPr>
    </w:p>
    <w:p>
      <w:pPr>
        <w:pStyle w:val="BodyText"/>
        <w:spacing w:line="208" w:lineRule="auto" w:before="104"/>
        <w:ind w:left="120" w:right="1633"/>
      </w:pPr>
      <w:r>
        <w:rPr/>
        <w:t>Working</w:t>
      </w:r>
      <w:r>
        <w:rPr>
          <w:spacing w:val="-5"/>
        </w:rPr>
        <w:t> </w:t>
      </w:r>
      <w:r>
        <w:rPr/>
        <w:t>capital</w:t>
      </w:r>
      <w:r>
        <w:rPr>
          <w:spacing w:val="-5"/>
        </w:rPr>
        <w:t> </w:t>
      </w:r>
      <w:r>
        <w:rPr/>
        <w:t>requirements</w:t>
      </w:r>
      <w:r>
        <w:rPr>
          <w:spacing w:val="-5"/>
        </w:rPr>
        <w:t> </w:t>
      </w:r>
      <w:r>
        <w:rPr/>
        <w:t>and</w:t>
      </w:r>
      <w:r>
        <w:rPr>
          <w:spacing w:val="-5"/>
        </w:rPr>
        <w:t> </w:t>
      </w:r>
      <w:r>
        <w:rPr/>
        <w:t>management</w:t>
      </w:r>
      <w:r>
        <w:rPr>
          <w:spacing w:val="-5"/>
        </w:rPr>
        <w:t> </w:t>
      </w:r>
      <w:r>
        <w:rPr/>
        <w:t>approaches</w:t>
      </w:r>
      <w:r>
        <w:rPr>
          <w:spacing w:val="-5"/>
        </w:rPr>
        <w:t> </w:t>
      </w:r>
      <w:r>
        <w:rPr/>
        <w:t>vary</w:t>
      </w:r>
      <w:r>
        <w:rPr>
          <w:spacing w:val="-5"/>
        </w:rPr>
        <w:t> </w:t>
      </w:r>
      <w:r>
        <w:rPr/>
        <w:t>significantly</w:t>
      </w:r>
      <w:r>
        <w:rPr>
          <w:spacing w:val="-5"/>
        </w:rPr>
        <w:t> </w:t>
      </w:r>
      <w:r>
        <w:rPr/>
        <w:t>across industries and business models. For a diversified conglomerate like RIL, understanding these variations is crucial for effective working capital management.</w:t>
      </w:r>
    </w:p>
    <w:p>
      <w:pPr>
        <w:pStyle w:val="BodyText"/>
        <w:spacing w:before="57"/>
      </w:pPr>
    </w:p>
    <w:p>
      <w:pPr>
        <w:pStyle w:val="Heading3"/>
        <w:numPr>
          <w:ilvl w:val="2"/>
          <w:numId w:val="3"/>
        </w:numPr>
        <w:tabs>
          <w:tab w:pos="820" w:val="left" w:leader="none"/>
        </w:tabs>
        <w:spacing w:line="240" w:lineRule="auto" w:before="0" w:after="0"/>
        <w:ind w:left="820" w:right="0" w:hanging="700"/>
        <w:jc w:val="left"/>
      </w:pPr>
      <w:r>
        <w:rPr/>
        <w:t>Oil and Gas / Petrochemicals </w:t>
      </w:r>
      <w:r>
        <w:rPr>
          <w:spacing w:val="-2"/>
        </w:rPr>
        <w:t>Industry</w:t>
      </w:r>
    </w:p>
    <w:p>
      <w:pPr>
        <w:pStyle w:val="BodyText"/>
        <w:spacing w:before="275"/>
        <w:ind w:left="120"/>
      </w:pPr>
      <w:r>
        <w:rPr/>
        <w:t>Key working capital considerations </w:t>
      </w:r>
      <w:r>
        <w:rPr>
          <w:spacing w:val="-2"/>
        </w:rPr>
        <w:t>include:</w:t>
      </w:r>
    </w:p>
    <w:p>
      <w:pPr>
        <w:pStyle w:val="ListParagraph"/>
        <w:numPr>
          <w:ilvl w:val="3"/>
          <w:numId w:val="3"/>
        </w:numPr>
        <w:tabs>
          <w:tab w:pos="266" w:val="left" w:leader="none"/>
        </w:tabs>
        <w:spacing w:line="240" w:lineRule="auto" w:before="84" w:after="0"/>
        <w:ind w:left="266" w:right="0" w:hanging="146"/>
        <w:jc w:val="left"/>
        <w:rPr>
          <w:sz w:val="24"/>
        </w:rPr>
      </w:pPr>
      <w:r>
        <w:rPr>
          <w:sz w:val="24"/>
        </w:rPr>
        <w:t>High inventory requirements due to bulk procurement of crude oil and storage </w:t>
      </w:r>
      <w:r>
        <w:rPr>
          <w:spacing w:val="-2"/>
          <w:sz w:val="24"/>
        </w:rPr>
        <w:t>needs</w:t>
      </w:r>
    </w:p>
    <w:p>
      <w:pPr>
        <w:pStyle w:val="ListParagraph"/>
        <w:numPr>
          <w:ilvl w:val="3"/>
          <w:numId w:val="3"/>
        </w:numPr>
        <w:tabs>
          <w:tab w:pos="266" w:val="left" w:leader="none"/>
        </w:tabs>
        <w:spacing w:line="240" w:lineRule="auto" w:before="84" w:after="0"/>
        <w:ind w:left="266" w:right="0" w:hanging="146"/>
        <w:jc w:val="left"/>
        <w:rPr>
          <w:sz w:val="24"/>
        </w:rPr>
      </w:pPr>
      <w:r>
        <w:rPr>
          <w:sz w:val="24"/>
        </w:rPr>
        <w:t>Volatility in raw material prices affecting inventory </w:t>
      </w:r>
      <w:r>
        <w:rPr>
          <w:spacing w:val="-2"/>
          <w:sz w:val="24"/>
        </w:rPr>
        <w:t>valuation</w:t>
      </w:r>
    </w:p>
    <w:p>
      <w:pPr>
        <w:pStyle w:val="ListParagraph"/>
        <w:numPr>
          <w:ilvl w:val="3"/>
          <w:numId w:val="3"/>
        </w:numPr>
        <w:tabs>
          <w:tab w:pos="266" w:val="left" w:leader="none"/>
        </w:tabs>
        <w:spacing w:line="240" w:lineRule="auto" w:before="84" w:after="0"/>
        <w:ind w:left="266" w:right="0" w:hanging="146"/>
        <w:jc w:val="left"/>
        <w:rPr>
          <w:sz w:val="24"/>
        </w:rPr>
      </w:pPr>
      <w:r>
        <w:rPr>
          <w:sz w:val="24"/>
        </w:rPr>
        <w:t>Typically longer cash conversion cycles compared to consumer </w:t>
      </w:r>
      <w:r>
        <w:rPr>
          <w:spacing w:val="-2"/>
          <w:sz w:val="24"/>
        </w:rPr>
        <w:t>industries</w:t>
      </w:r>
    </w:p>
    <w:p>
      <w:pPr>
        <w:pStyle w:val="ListParagraph"/>
        <w:numPr>
          <w:ilvl w:val="3"/>
          <w:numId w:val="3"/>
        </w:numPr>
        <w:tabs>
          <w:tab w:pos="266" w:val="left" w:leader="none"/>
        </w:tabs>
        <w:spacing w:line="240" w:lineRule="auto" w:before="84" w:after="0"/>
        <w:ind w:left="266" w:right="0" w:hanging="146"/>
        <w:jc w:val="left"/>
        <w:rPr>
          <w:sz w:val="24"/>
        </w:rPr>
      </w:pPr>
      <w:r>
        <w:rPr>
          <w:sz w:val="24"/>
        </w:rPr>
        <w:t>Significant impact of global commodity price cycles on working capital </w:t>
      </w:r>
      <w:r>
        <w:rPr>
          <w:spacing w:val="-2"/>
          <w:sz w:val="24"/>
        </w:rPr>
        <w:t>requirements</w:t>
      </w:r>
    </w:p>
    <w:p>
      <w:pPr>
        <w:pStyle w:val="ListParagraph"/>
        <w:numPr>
          <w:ilvl w:val="3"/>
          <w:numId w:val="3"/>
        </w:numPr>
        <w:tabs>
          <w:tab w:pos="266" w:val="left" w:leader="none"/>
        </w:tabs>
        <w:spacing w:line="208" w:lineRule="auto" w:before="114" w:after="0"/>
        <w:ind w:left="120" w:right="2393" w:firstLine="0"/>
        <w:jc w:val="left"/>
        <w:rPr>
          <w:sz w:val="24"/>
        </w:rPr>
      </w:pPr>
      <w:r>
        <w:rPr>
          <w:sz w:val="24"/>
        </w:rPr>
        <w:t>Large</w:t>
      </w:r>
      <w:r>
        <w:rPr>
          <w:spacing w:val="-5"/>
          <w:sz w:val="24"/>
        </w:rPr>
        <w:t> </w:t>
      </w:r>
      <w:r>
        <w:rPr>
          <w:sz w:val="24"/>
        </w:rPr>
        <w:t>capital</w:t>
      </w:r>
      <w:r>
        <w:rPr>
          <w:spacing w:val="-5"/>
          <w:sz w:val="24"/>
        </w:rPr>
        <w:t> </w:t>
      </w:r>
      <w:r>
        <w:rPr>
          <w:sz w:val="24"/>
        </w:rPr>
        <w:t>investments</w:t>
      </w:r>
      <w:r>
        <w:rPr>
          <w:spacing w:val="-5"/>
          <w:sz w:val="24"/>
        </w:rPr>
        <w:t> </w:t>
      </w:r>
      <w:r>
        <w:rPr>
          <w:sz w:val="24"/>
        </w:rPr>
        <w:t>with</w:t>
      </w:r>
      <w:r>
        <w:rPr>
          <w:spacing w:val="-5"/>
          <w:sz w:val="24"/>
        </w:rPr>
        <w:t> </w:t>
      </w:r>
      <w:r>
        <w:rPr>
          <w:sz w:val="24"/>
        </w:rPr>
        <w:t>long</w:t>
      </w:r>
      <w:r>
        <w:rPr>
          <w:spacing w:val="-5"/>
          <w:sz w:val="24"/>
        </w:rPr>
        <w:t> </w:t>
      </w:r>
      <w:r>
        <w:rPr>
          <w:sz w:val="24"/>
        </w:rPr>
        <w:t>gestation</w:t>
      </w:r>
      <w:r>
        <w:rPr>
          <w:spacing w:val="-5"/>
          <w:sz w:val="24"/>
        </w:rPr>
        <w:t> </w:t>
      </w:r>
      <w:r>
        <w:rPr>
          <w:sz w:val="24"/>
        </w:rPr>
        <w:t>periods</w:t>
      </w:r>
      <w:r>
        <w:rPr>
          <w:spacing w:val="-5"/>
          <w:sz w:val="24"/>
        </w:rPr>
        <w:t> </w:t>
      </w:r>
      <w:r>
        <w:rPr>
          <w:sz w:val="24"/>
        </w:rPr>
        <w:t>affecting</w:t>
      </w:r>
      <w:r>
        <w:rPr>
          <w:spacing w:val="-5"/>
          <w:sz w:val="24"/>
        </w:rPr>
        <w:t> </w:t>
      </w:r>
      <w:r>
        <w:rPr>
          <w:sz w:val="24"/>
        </w:rPr>
        <w:t>overall</w:t>
      </w:r>
      <w:r>
        <w:rPr>
          <w:spacing w:val="-5"/>
          <w:sz w:val="24"/>
        </w:rPr>
        <w:t> </w:t>
      </w:r>
      <w:r>
        <w:rPr>
          <w:sz w:val="24"/>
        </w:rPr>
        <w:t>capital </w:t>
      </w:r>
      <w:r>
        <w:rPr>
          <w:spacing w:val="-2"/>
          <w:sz w:val="24"/>
        </w:rPr>
        <w:t>allocation</w:t>
      </w:r>
    </w:p>
    <w:p>
      <w:pPr>
        <w:pStyle w:val="BodyText"/>
        <w:spacing w:before="57"/>
      </w:pPr>
    </w:p>
    <w:p>
      <w:pPr>
        <w:pStyle w:val="Heading3"/>
        <w:numPr>
          <w:ilvl w:val="2"/>
          <w:numId w:val="3"/>
        </w:numPr>
        <w:tabs>
          <w:tab w:pos="820" w:val="left" w:leader="none"/>
        </w:tabs>
        <w:spacing w:line="240" w:lineRule="auto" w:before="0" w:after="0"/>
        <w:ind w:left="820" w:right="0" w:hanging="700"/>
        <w:jc w:val="left"/>
      </w:pPr>
      <w:r>
        <w:rPr/>
        <w:t>Retail </w:t>
      </w:r>
      <w:r>
        <w:rPr>
          <w:spacing w:val="-2"/>
        </w:rPr>
        <w:t>Industry</w:t>
      </w:r>
    </w:p>
    <w:p>
      <w:pPr>
        <w:pStyle w:val="BodyText"/>
        <w:spacing w:before="275"/>
        <w:ind w:left="120"/>
      </w:pPr>
      <w:r>
        <w:rPr/>
        <w:t>Working capital dynamics </w:t>
      </w:r>
      <w:r>
        <w:rPr>
          <w:spacing w:val="-2"/>
        </w:rPr>
        <w:t>include:</w:t>
      </w:r>
    </w:p>
    <w:p>
      <w:pPr>
        <w:pStyle w:val="ListParagraph"/>
        <w:numPr>
          <w:ilvl w:val="3"/>
          <w:numId w:val="3"/>
        </w:numPr>
        <w:tabs>
          <w:tab w:pos="266" w:val="left" w:leader="none"/>
        </w:tabs>
        <w:spacing w:line="240" w:lineRule="auto" w:before="84" w:after="0"/>
        <w:ind w:left="266" w:right="0" w:hanging="146"/>
        <w:jc w:val="left"/>
        <w:rPr>
          <w:sz w:val="24"/>
        </w:rPr>
      </w:pPr>
      <w:r>
        <w:rPr>
          <w:sz w:val="24"/>
        </w:rPr>
        <w:t>Inventory management as a critical factor for </w:t>
      </w:r>
      <w:r>
        <w:rPr>
          <w:spacing w:val="-2"/>
          <w:sz w:val="24"/>
        </w:rPr>
        <w:t>profitability</w:t>
      </w:r>
    </w:p>
    <w:p>
      <w:pPr>
        <w:pStyle w:val="ListParagraph"/>
        <w:numPr>
          <w:ilvl w:val="3"/>
          <w:numId w:val="3"/>
        </w:numPr>
        <w:tabs>
          <w:tab w:pos="266" w:val="left" w:leader="none"/>
        </w:tabs>
        <w:spacing w:line="240" w:lineRule="auto" w:before="84" w:after="0"/>
        <w:ind w:left="266" w:right="0" w:hanging="146"/>
        <w:jc w:val="left"/>
        <w:rPr>
          <w:sz w:val="24"/>
        </w:rPr>
      </w:pPr>
      <w:r>
        <w:rPr>
          <w:sz w:val="24"/>
        </w:rPr>
        <w:t>Seasonal demand fluctuations requiring flexible working </w:t>
      </w:r>
      <w:r>
        <w:rPr>
          <w:spacing w:val="-2"/>
          <w:sz w:val="24"/>
        </w:rPr>
        <w:t>capital</w:t>
      </w:r>
    </w:p>
    <w:p>
      <w:pPr>
        <w:pStyle w:val="ListParagraph"/>
        <w:numPr>
          <w:ilvl w:val="3"/>
          <w:numId w:val="3"/>
        </w:numPr>
        <w:tabs>
          <w:tab w:pos="266" w:val="left" w:leader="none"/>
        </w:tabs>
        <w:spacing w:line="208" w:lineRule="auto" w:before="114" w:after="0"/>
        <w:ind w:left="120" w:right="2673" w:firstLine="0"/>
        <w:jc w:val="left"/>
        <w:rPr>
          <w:sz w:val="24"/>
        </w:rPr>
      </w:pPr>
      <w:r>
        <w:rPr>
          <w:sz w:val="24"/>
        </w:rPr>
        <w:t>Increasing</w:t>
      </w:r>
      <w:r>
        <w:rPr>
          <w:spacing w:val="-6"/>
          <w:sz w:val="24"/>
        </w:rPr>
        <w:t> </w:t>
      </w:r>
      <w:r>
        <w:rPr>
          <w:sz w:val="24"/>
        </w:rPr>
        <w:t>prevalence</w:t>
      </w:r>
      <w:r>
        <w:rPr>
          <w:spacing w:val="-6"/>
          <w:sz w:val="24"/>
        </w:rPr>
        <w:t> </w:t>
      </w:r>
      <w:r>
        <w:rPr>
          <w:sz w:val="24"/>
        </w:rPr>
        <w:t>of</w:t>
      </w:r>
      <w:r>
        <w:rPr>
          <w:spacing w:val="-6"/>
          <w:sz w:val="24"/>
        </w:rPr>
        <w:t> </w:t>
      </w:r>
      <w:r>
        <w:rPr>
          <w:sz w:val="24"/>
        </w:rPr>
        <w:t>quick-response</w:t>
      </w:r>
      <w:r>
        <w:rPr>
          <w:spacing w:val="-6"/>
          <w:sz w:val="24"/>
        </w:rPr>
        <w:t> </w:t>
      </w:r>
      <w:r>
        <w:rPr>
          <w:sz w:val="24"/>
        </w:rPr>
        <w:t>supply</w:t>
      </w:r>
      <w:r>
        <w:rPr>
          <w:spacing w:val="-6"/>
          <w:sz w:val="24"/>
        </w:rPr>
        <w:t> </w:t>
      </w:r>
      <w:r>
        <w:rPr>
          <w:sz w:val="24"/>
        </w:rPr>
        <w:t>chains</w:t>
      </w:r>
      <w:r>
        <w:rPr>
          <w:spacing w:val="-6"/>
          <w:sz w:val="24"/>
        </w:rPr>
        <w:t> </w:t>
      </w:r>
      <w:r>
        <w:rPr>
          <w:sz w:val="24"/>
        </w:rPr>
        <w:t>reducing</w:t>
      </w:r>
      <w:r>
        <w:rPr>
          <w:spacing w:val="-6"/>
          <w:sz w:val="24"/>
        </w:rPr>
        <w:t> </w:t>
      </w:r>
      <w:r>
        <w:rPr>
          <w:sz w:val="24"/>
        </w:rPr>
        <w:t>inventory </w:t>
      </w:r>
      <w:r>
        <w:rPr>
          <w:spacing w:val="-2"/>
          <w:sz w:val="24"/>
        </w:rPr>
        <w:t>requirements</w:t>
      </w:r>
    </w:p>
    <w:p>
      <w:pPr>
        <w:pStyle w:val="ListParagraph"/>
        <w:numPr>
          <w:ilvl w:val="3"/>
          <w:numId w:val="3"/>
        </w:numPr>
        <w:tabs>
          <w:tab w:pos="266" w:val="left" w:leader="none"/>
        </w:tabs>
        <w:spacing w:line="240" w:lineRule="auto" w:before="90" w:after="0"/>
        <w:ind w:left="266" w:right="0" w:hanging="146"/>
        <w:jc w:val="left"/>
        <w:rPr>
          <w:sz w:val="24"/>
        </w:rPr>
      </w:pPr>
      <w:r>
        <w:rPr>
          <w:sz w:val="24"/>
        </w:rPr>
        <w:t>Different inventory turnover rates across product </w:t>
      </w:r>
      <w:r>
        <w:rPr>
          <w:spacing w:val="-2"/>
          <w:sz w:val="24"/>
        </w:rPr>
        <w:t>categories</w:t>
      </w:r>
    </w:p>
    <w:p>
      <w:pPr>
        <w:pStyle w:val="ListParagraph"/>
        <w:numPr>
          <w:ilvl w:val="3"/>
          <w:numId w:val="3"/>
        </w:numPr>
        <w:tabs>
          <w:tab w:pos="266" w:val="left" w:leader="none"/>
        </w:tabs>
        <w:spacing w:line="240" w:lineRule="auto" w:before="84" w:after="0"/>
        <w:ind w:left="266" w:right="0" w:hanging="146"/>
        <w:jc w:val="left"/>
        <w:rPr>
          <w:sz w:val="24"/>
        </w:rPr>
      </w:pPr>
      <w:r>
        <w:rPr>
          <w:sz w:val="24"/>
        </w:rPr>
        <w:t>Growing importance of omnichannel operations affecting inventory </w:t>
      </w:r>
      <w:r>
        <w:rPr>
          <w:spacing w:val="-2"/>
          <w:sz w:val="24"/>
        </w:rPr>
        <w:t>distribution</w:t>
      </w:r>
    </w:p>
    <w:p>
      <w:pPr>
        <w:pStyle w:val="BodyText"/>
        <w:spacing w:before="51"/>
      </w:pPr>
    </w:p>
    <w:p>
      <w:pPr>
        <w:pStyle w:val="Heading3"/>
        <w:numPr>
          <w:ilvl w:val="2"/>
          <w:numId w:val="3"/>
        </w:numPr>
        <w:tabs>
          <w:tab w:pos="820" w:val="left" w:leader="none"/>
        </w:tabs>
        <w:spacing w:line="240" w:lineRule="auto" w:before="0" w:after="0"/>
        <w:ind w:left="820" w:right="0" w:hanging="700"/>
        <w:jc w:val="left"/>
      </w:pPr>
      <w:r>
        <w:rPr/>
        <w:t>Telecommunications </w:t>
      </w:r>
      <w:r>
        <w:rPr>
          <w:spacing w:val="-2"/>
        </w:rPr>
        <w:t>Industry</w:t>
      </w:r>
    </w:p>
    <w:p>
      <w:pPr>
        <w:pStyle w:val="BodyText"/>
        <w:spacing w:before="275"/>
        <w:ind w:left="120"/>
      </w:pPr>
      <w:r>
        <w:rPr/>
        <w:t>Key considerations </w:t>
      </w:r>
      <w:r>
        <w:rPr>
          <w:spacing w:val="-2"/>
        </w:rPr>
        <w:t>include:</w:t>
      </w:r>
    </w:p>
    <w:p>
      <w:pPr>
        <w:pStyle w:val="ListParagraph"/>
        <w:numPr>
          <w:ilvl w:val="3"/>
          <w:numId w:val="3"/>
        </w:numPr>
        <w:tabs>
          <w:tab w:pos="266" w:val="left" w:leader="none"/>
        </w:tabs>
        <w:spacing w:line="240" w:lineRule="auto" w:before="84" w:after="0"/>
        <w:ind w:left="266" w:right="0" w:hanging="146"/>
        <w:jc w:val="left"/>
        <w:rPr>
          <w:sz w:val="24"/>
        </w:rPr>
      </w:pPr>
      <w:r>
        <w:rPr>
          <w:sz w:val="24"/>
        </w:rPr>
        <w:t>Asset-heavy business model with significant fixed infrastructure </w:t>
      </w:r>
      <w:r>
        <w:rPr>
          <w:spacing w:val="-2"/>
          <w:sz w:val="24"/>
        </w:rPr>
        <w:t>investments</w:t>
      </w:r>
    </w:p>
    <w:p>
      <w:pPr>
        <w:pStyle w:val="ListParagraph"/>
        <w:numPr>
          <w:ilvl w:val="3"/>
          <w:numId w:val="3"/>
        </w:numPr>
        <w:tabs>
          <w:tab w:pos="266" w:val="left" w:leader="none"/>
        </w:tabs>
        <w:spacing w:line="240" w:lineRule="auto" w:before="84" w:after="0"/>
        <w:ind w:left="266" w:right="0" w:hanging="146"/>
        <w:jc w:val="left"/>
        <w:rPr>
          <w:sz w:val="24"/>
        </w:rPr>
      </w:pPr>
      <w:r>
        <w:rPr>
          <w:sz w:val="24"/>
        </w:rPr>
        <w:t>Relatively stable cash flows from subscription-based revenue </w:t>
      </w:r>
      <w:r>
        <w:rPr>
          <w:spacing w:val="-2"/>
          <w:sz w:val="24"/>
        </w:rPr>
        <w:t>models</w:t>
      </w:r>
    </w:p>
    <w:p>
      <w:pPr>
        <w:pStyle w:val="ListParagraph"/>
        <w:numPr>
          <w:ilvl w:val="3"/>
          <w:numId w:val="3"/>
        </w:numPr>
        <w:tabs>
          <w:tab w:pos="266" w:val="left" w:leader="none"/>
        </w:tabs>
        <w:spacing w:line="240" w:lineRule="auto" w:before="84" w:after="0"/>
        <w:ind w:left="266" w:right="0" w:hanging="146"/>
        <w:jc w:val="left"/>
        <w:rPr>
          <w:sz w:val="24"/>
        </w:rPr>
      </w:pPr>
      <w:r>
        <w:rPr>
          <w:sz w:val="24"/>
        </w:rPr>
        <w:t>Lower inventory requirements compared to manufacturing or </w:t>
      </w:r>
      <w:r>
        <w:rPr>
          <w:spacing w:val="-2"/>
          <w:sz w:val="24"/>
        </w:rPr>
        <w:t>retail</w:t>
      </w:r>
    </w:p>
    <w:p>
      <w:pPr>
        <w:pStyle w:val="ListParagraph"/>
        <w:numPr>
          <w:ilvl w:val="3"/>
          <w:numId w:val="3"/>
        </w:numPr>
        <w:tabs>
          <w:tab w:pos="266" w:val="left" w:leader="none"/>
        </w:tabs>
        <w:spacing w:line="240" w:lineRule="auto" w:before="84" w:after="0"/>
        <w:ind w:left="266" w:right="0" w:hanging="146"/>
        <w:jc w:val="left"/>
        <w:rPr>
          <w:sz w:val="24"/>
        </w:rPr>
      </w:pPr>
      <w:r>
        <w:rPr>
          <w:sz w:val="24"/>
        </w:rPr>
        <w:t>Significant impact of technological cycles on capital expenditure </w:t>
      </w:r>
      <w:r>
        <w:rPr>
          <w:spacing w:val="-2"/>
          <w:sz w:val="24"/>
        </w:rPr>
        <w:t>requirements</w:t>
      </w:r>
    </w:p>
    <w:p>
      <w:pPr>
        <w:pStyle w:val="ListParagraph"/>
        <w:numPr>
          <w:ilvl w:val="3"/>
          <w:numId w:val="3"/>
        </w:numPr>
        <w:tabs>
          <w:tab w:pos="266" w:val="left" w:leader="none"/>
        </w:tabs>
        <w:spacing w:line="240" w:lineRule="auto" w:before="84" w:after="0"/>
        <w:ind w:left="266" w:right="0" w:hanging="146"/>
        <w:jc w:val="left"/>
        <w:rPr>
          <w:sz w:val="24"/>
        </w:rPr>
      </w:pPr>
      <w:r>
        <w:rPr>
          <w:sz w:val="24"/>
        </w:rPr>
        <w:t>Growing convergence with digital services affecting working capital </w:t>
      </w:r>
      <w:r>
        <w:rPr>
          <w:spacing w:val="-2"/>
          <w:sz w:val="24"/>
        </w:rPr>
        <w:t>structures</w:t>
      </w:r>
    </w:p>
    <w:p>
      <w:pPr>
        <w:pStyle w:val="BodyText"/>
        <w:spacing w:before="51"/>
      </w:pPr>
    </w:p>
    <w:p>
      <w:pPr>
        <w:pStyle w:val="Heading3"/>
        <w:numPr>
          <w:ilvl w:val="2"/>
          <w:numId w:val="3"/>
        </w:numPr>
        <w:tabs>
          <w:tab w:pos="820" w:val="left" w:leader="none"/>
        </w:tabs>
        <w:spacing w:line="240" w:lineRule="auto" w:before="0" w:after="0"/>
        <w:ind w:left="820" w:right="0" w:hanging="700"/>
        <w:jc w:val="left"/>
      </w:pPr>
      <w:r>
        <w:rPr/>
        <w:t>Digital Services </w:t>
      </w:r>
      <w:r>
        <w:rPr>
          <w:spacing w:val="-2"/>
        </w:rPr>
        <w:t>Industry</w:t>
      </w:r>
    </w:p>
    <w:p>
      <w:pPr>
        <w:pStyle w:val="BodyText"/>
        <w:spacing w:before="275"/>
        <w:ind w:left="120"/>
      </w:pPr>
      <w:r>
        <w:rPr/>
        <w:t>Working capital characteristics </w:t>
      </w:r>
      <w:r>
        <w:rPr>
          <w:spacing w:val="-2"/>
        </w:rPr>
        <w:t>include:</w:t>
      </w:r>
    </w:p>
    <w:p>
      <w:pPr>
        <w:pStyle w:val="ListParagraph"/>
        <w:numPr>
          <w:ilvl w:val="3"/>
          <w:numId w:val="3"/>
        </w:numPr>
        <w:tabs>
          <w:tab w:pos="266" w:val="left" w:leader="none"/>
        </w:tabs>
        <w:spacing w:line="240" w:lineRule="auto" w:before="84" w:after="0"/>
        <w:ind w:left="266" w:right="0" w:hanging="146"/>
        <w:jc w:val="left"/>
        <w:rPr>
          <w:sz w:val="24"/>
        </w:rPr>
      </w:pPr>
      <w:r>
        <w:rPr>
          <w:sz w:val="24"/>
        </w:rPr>
        <w:t>Asset-light business models with limited physical </w:t>
      </w:r>
      <w:r>
        <w:rPr>
          <w:spacing w:val="-2"/>
          <w:sz w:val="24"/>
        </w:rPr>
        <w:t>inventory</w:t>
      </w:r>
    </w:p>
    <w:p>
      <w:pPr>
        <w:pStyle w:val="ListParagraph"/>
        <w:numPr>
          <w:ilvl w:val="3"/>
          <w:numId w:val="3"/>
        </w:numPr>
        <w:tabs>
          <w:tab w:pos="266" w:val="left" w:leader="none"/>
        </w:tabs>
        <w:spacing w:line="240" w:lineRule="auto" w:before="85" w:after="0"/>
        <w:ind w:left="266" w:right="0" w:hanging="146"/>
        <w:jc w:val="left"/>
        <w:rPr>
          <w:sz w:val="24"/>
        </w:rPr>
      </w:pPr>
      <w:r>
        <w:rPr>
          <w:sz w:val="24"/>
        </w:rPr>
        <w:t>Subscription and platform-based revenue models affecting cash flow </w:t>
      </w:r>
      <w:r>
        <w:rPr>
          <w:spacing w:val="-2"/>
          <w:sz w:val="24"/>
        </w:rPr>
        <w:t>patterns</w:t>
      </w:r>
    </w:p>
    <w:p>
      <w:pPr>
        <w:pStyle w:val="ListParagraph"/>
        <w:numPr>
          <w:ilvl w:val="3"/>
          <w:numId w:val="3"/>
        </w:numPr>
        <w:tabs>
          <w:tab w:pos="266" w:val="left" w:leader="none"/>
        </w:tabs>
        <w:spacing w:line="240" w:lineRule="auto" w:before="84" w:after="0"/>
        <w:ind w:left="266" w:right="0" w:hanging="146"/>
        <w:jc w:val="left"/>
        <w:rPr>
          <w:sz w:val="24"/>
        </w:rPr>
      </w:pPr>
      <w:r>
        <w:rPr>
          <w:sz w:val="24"/>
        </w:rPr>
        <w:t>High upfront development costs but lower ongoing working capital </w:t>
      </w:r>
      <w:r>
        <w:rPr>
          <w:spacing w:val="-2"/>
          <w:sz w:val="24"/>
        </w:rPr>
        <w:t>requirements</w:t>
      </w:r>
    </w:p>
    <w:p>
      <w:pPr>
        <w:pStyle w:val="ListParagraph"/>
        <w:spacing w:after="0" w:line="240" w:lineRule="auto"/>
        <w:jc w:val="left"/>
        <w:rPr>
          <w:sz w:val="24"/>
        </w:rPr>
        <w:sectPr>
          <w:pgSz w:w="12240" w:h="15840"/>
          <w:pgMar w:top="1500" w:bottom="280" w:left="1440" w:right="0"/>
        </w:sectPr>
      </w:pPr>
    </w:p>
    <w:p>
      <w:pPr>
        <w:pStyle w:val="ListParagraph"/>
        <w:numPr>
          <w:ilvl w:val="3"/>
          <w:numId w:val="3"/>
        </w:numPr>
        <w:tabs>
          <w:tab w:pos="266" w:val="left" w:leader="none"/>
        </w:tabs>
        <w:spacing w:line="240" w:lineRule="auto" w:before="75" w:after="0"/>
        <w:ind w:left="266" w:right="0" w:hanging="146"/>
        <w:jc w:val="left"/>
        <w:rPr>
          <w:sz w:val="24"/>
        </w:rPr>
      </w:pPr>
      <w:r>
        <w:rPr>
          <w:sz w:val="24"/>
        </w:rPr>
        <w:t>Network effects and scale economics influencing financial </w:t>
      </w:r>
      <w:r>
        <w:rPr>
          <w:spacing w:val="-2"/>
          <w:sz w:val="24"/>
        </w:rPr>
        <w:t>structures</w:t>
      </w:r>
    </w:p>
    <w:p>
      <w:pPr>
        <w:pStyle w:val="ListParagraph"/>
        <w:numPr>
          <w:ilvl w:val="3"/>
          <w:numId w:val="3"/>
        </w:numPr>
        <w:tabs>
          <w:tab w:pos="266" w:val="left" w:leader="none"/>
        </w:tabs>
        <w:spacing w:line="240" w:lineRule="auto" w:before="84" w:after="0"/>
        <w:ind w:left="266" w:right="0" w:hanging="146"/>
        <w:jc w:val="left"/>
        <w:rPr>
          <w:sz w:val="24"/>
        </w:rPr>
      </w:pPr>
      <w:r>
        <w:rPr>
          <w:sz w:val="24"/>
        </w:rPr>
        <w:t>Integration with financial services introducing new working capital </w:t>
      </w:r>
      <w:r>
        <w:rPr>
          <w:spacing w:val="-2"/>
          <w:sz w:val="24"/>
        </w:rPr>
        <w:t>considerations</w:t>
      </w:r>
    </w:p>
    <w:p>
      <w:pPr>
        <w:pStyle w:val="BodyText"/>
        <w:spacing w:before="255"/>
      </w:pPr>
    </w:p>
    <w:p>
      <w:pPr>
        <w:pStyle w:val="Heading1"/>
        <w:numPr>
          <w:ilvl w:val="0"/>
          <w:numId w:val="3"/>
        </w:numPr>
        <w:tabs>
          <w:tab w:pos="520" w:val="left" w:leader="none"/>
        </w:tabs>
        <w:spacing w:line="240" w:lineRule="auto" w:before="0" w:after="0"/>
        <w:ind w:left="520" w:right="0" w:hanging="400"/>
        <w:jc w:val="left"/>
      </w:pPr>
      <w:r>
        <w:rPr/>
        <w:t>RESEARCH </w:t>
      </w:r>
      <w:r>
        <w:rPr>
          <w:spacing w:val="-2"/>
        </w:rPr>
        <w:t>METHODOLOGY</w:t>
      </w:r>
    </w:p>
    <w:p>
      <w:pPr>
        <w:pStyle w:val="BodyText"/>
        <w:spacing w:before="89"/>
        <w:rPr>
          <w:rFonts w:ascii="Arial"/>
          <w:b/>
          <w:sz w:val="36"/>
        </w:rPr>
      </w:pPr>
    </w:p>
    <w:p>
      <w:pPr>
        <w:pStyle w:val="Heading2"/>
        <w:numPr>
          <w:ilvl w:val="1"/>
          <w:numId w:val="3"/>
        </w:numPr>
        <w:tabs>
          <w:tab w:pos="653" w:val="left" w:leader="none"/>
        </w:tabs>
        <w:spacing w:line="240" w:lineRule="auto" w:before="1" w:after="0"/>
        <w:ind w:left="653" w:right="0" w:hanging="533"/>
        <w:jc w:val="left"/>
      </w:pPr>
      <w:r>
        <w:rPr/>
        <w:t>Research </w:t>
      </w:r>
      <w:r>
        <w:rPr>
          <w:spacing w:val="-2"/>
        </w:rPr>
        <w:t>Design</w:t>
      </w:r>
    </w:p>
    <w:p>
      <w:pPr>
        <w:pStyle w:val="BodyText"/>
        <w:spacing w:before="8"/>
        <w:rPr>
          <w:rFonts w:ascii="Arial"/>
          <w:b/>
          <w:sz w:val="32"/>
        </w:rPr>
      </w:pPr>
    </w:p>
    <w:p>
      <w:pPr>
        <w:pStyle w:val="BodyText"/>
        <w:spacing w:line="208" w:lineRule="auto" w:before="0"/>
        <w:ind w:left="120" w:right="1633"/>
      </w:pPr>
      <w:r>
        <w:rPr/>
        <w:t>This study employs a mixed-method research design that integrates quantitative analysis</w:t>
      </w:r>
      <w:r>
        <w:rPr>
          <w:spacing w:val="-4"/>
        </w:rPr>
        <w:t> </w:t>
      </w:r>
      <w:r>
        <w:rPr/>
        <w:t>of</w:t>
      </w:r>
      <w:r>
        <w:rPr>
          <w:spacing w:val="-4"/>
        </w:rPr>
        <w:t> </w:t>
      </w:r>
      <w:r>
        <w:rPr/>
        <w:t>financial</w:t>
      </w:r>
      <w:r>
        <w:rPr>
          <w:spacing w:val="-4"/>
        </w:rPr>
        <w:t> </w:t>
      </w:r>
      <w:r>
        <w:rPr/>
        <w:t>data</w:t>
      </w:r>
      <w:r>
        <w:rPr>
          <w:spacing w:val="-4"/>
        </w:rPr>
        <w:t> </w:t>
      </w:r>
      <w:r>
        <w:rPr/>
        <w:t>with</w:t>
      </w:r>
      <w:r>
        <w:rPr>
          <w:spacing w:val="-4"/>
        </w:rPr>
        <w:t> </w:t>
      </w:r>
      <w:r>
        <w:rPr/>
        <w:t>qualitative</w:t>
      </w:r>
      <w:r>
        <w:rPr>
          <w:spacing w:val="-4"/>
        </w:rPr>
        <w:t> </w:t>
      </w:r>
      <w:r>
        <w:rPr/>
        <w:t>assessment</w:t>
      </w:r>
      <w:r>
        <w:rPr>
          <w:spacing w:val="-4"/>
        </w:rPr>
        <w:t> </w:t>
      </w:r>
      <w:r>
        <w:rPr/>
        <w:t>of</w:t>
      </w:r>
      <w:r>
        <w:rPr>
          <w:spacing w:val="-4"/>
        </w:rPr>
        <w:t> </w:t>
      </w:r>
      <w:r>
        <w:rPr/>
        <w:t>management</w:t>
      </w:r>
      <w:r>
        <w:rPr>
          <w:spacing w:val="-4"/>
        </w:rPr>
        <w:t> </w:t>
      </w:r>
      <w:r>
        <w:rPr/>
        <w:t>strategies</w:t>
      </w:r>
      <w:r>
        <w:rPr>
          <w:spacing w:val="-4"/>
        </w:rPr>
        <w:t> </w:t>
      </w:r>
      <w:r>
        <w:rPr/>
        <w:t>and industry practices. The research follows a sequential explanatory approach, where quantitative analysis precedes and informs qualitative interpretation.</w:t>
      </w:r>
    </w:p>
    <w:p>
      <w:pPr>
        <w:pStyle w:val="BodyText"/>
        <w:spacing w:before="14"/>
      </w:pPr>
    </w:p>
    <w:p>
      <w:pPr>
        <w:pStyle w:val="BodyText"/>
        <w:spacing w:before="0"/>
        <w:ind w:left="120"/>
      </w:pPr>
      <w:r>
        <w:rPr/>
        <w:t>The research design encompasses several </w:t>
      </w:r>
      <w:r>
        <w:rPr>
          <w:spacing w:val="-2"/>
        </w:rPr>
        <w:t>components:</w:t>
      </w:r>
    </w:p>
    <w:p>
      <w:pPr>
        <w:pStyle w:val="BodyText"/>
        <w:spacing w:before="38"/>
      </w:pPr>
    </w:p>
    <w:p>
      <w:pPr>
        <w:pStyle w:val="BodyText"/>
        <w:spacing w:line="208" w:lineRule="auto" w:before="0"/>
        <w:ind w:left="120" w:right="1633"/>
      </w:pPr>
      <w:r>
        <w:rPr>
          <w:rFonts w:ascii="Arial"/>
          <w:b/>
        </w:rPr>
        <w:t>Descriptive</w:t>
      </w:r>
      <w:r>
        <w:rPr>
          <w:rFonts w:ascii="Arial"/>
          <w:b/>
          <w:spacing w:val="-5"/>
        </w:rPr>
        <w:t> </w:t>
      </w:r>
      <w:r>
        <w:rPr>
          <w:rFonts w:ascii="Arial"/>
          <w:b/>
        </w:rPr>
        <w:t>Analysis:</w:t>
      </w:r>
      <w:r>
        <w:rPr>
          <w:rFonts w:ascii="Arial"/>
          <w:b/>
          <w:spacing w:val="-5"/>
        </w:rPr>
        <w:t> </w:t>
      </w:r>
      <w:r>
        <w:rPr/>
        <w:t>Examination</w:t>
      </w:r>
      <w:r>
        <w:rPr>
          <w:spacing w:val="-5"/>
        </w:rPr>
        <w:t> </w:t>
      </w:r>
      <w:r>
        <w:rPr/>
        <w:t>of</w:t>
      </w:r>
      <w:r>
        <w:rPr>
          <w:spacing w:val="-5"/>
        </w:rPr>
        <w:t> </w:t>
      </w:r>
      <w:r>
        <w:rPr/>
        <w:t>RIL's</w:t>
      </w:r>
      <w:r>
        <w:rPr>
          <w:spacing w:val="-5"/>
        </w:rPr>
        <w:t> </w:t>
      </w:r>
      <w:r>
        <w:rPr/>
        <w:t>working</w:t>
      </w:r>
      <w:r>
        <w:rPr>
          <w:spacing w:val="-5"/>
        </w:rPr>
        <w:t> </w:t>
      </w:r>
      <w:r>
        <w:rPr/>
        <w:t>capital</w:t>
      </w:r>
      <w:r>
        <w:rPr>
          <w:spacing w:val="-5"/>
        </w:rPr>
        <w:t> </w:t>
      </w:r>
      <w:r>
        <w:rPr/>
        <w:t>composition,</w:t>
      </w:r>
      <w:r>
        <w:rPr>
          <w:spacing w:val="-5"/>
        </w:rPr>
        <w:t> </w:t>
      </w:r>
      <w:r>
        <w:rPr/>
        <w:t>trends,</w:t>
      </w:r>
      <w:r>
        <w:rPr>
          <w:spacing w:val="-5"/>
        </w:rPr>
        <w:t> </w:t>
      </w:r>
      <w:r>
        <w:rPr/>
        <w:t>and metrics over the five-year study period.</w:t>
      </w:r>
    </w:p>
    <w:p>
      <w:pPr>
        <w:pStyle w:val="BodyText"/>
        <w:spacing w:before="43"/>
      </w:pPr>
    </w:p>
    <w:p>
      <w:pPr>
        <w:pStyle w:val="BodyText"/>
        <w:spacing w:line="208" w:lineRule="auto" w:before="1"/>
        <w:ind w:left="120" w:right="1633"/>
      </w:pPr>
      <w:r>
        <w:rPr>
          <w:rFonts w:ascii="Arial"/>
          <w:b/>
        </w:rPr>
        <w:t>Comparative</w:t>
      </w:r>
      <w:r>
        <w:rPr>
          <w:rFonts w:ascii="Arial"/>
          <w:b/>
          <w:spacing w:val="-6"/>
        </w:rPr>
        <w:t> </w:t>
      </w:r>
      <w:r>
        <w:rPr>
          <w:rFonts w:ascii="Arial"/>
          <w:b/>
        </w:rPr>
        <w:t>Analysis:</w:t>
      </w:r>
      <w:r>
        <w:rPr>
          <w:rFonts w:ascii="Arial"/>
          <w:b/>
          <w:spacing w:val="-6"/>
        </w:rPr>
        <w:t> </w:t>
      </w:r>
      <w:r>
        <w:rPr/>
        <w:t>Benchmarking</w:t>
      </w:r>
      <w:r>
        <w:rPr>
          <w:spacing w:val="-6"/>
        </w:rPr>
        <w:t> </w:t>
      </w:r>
      <w:r>
        <w:rPr/>
        <w:t>RIL's</w:t>
      </w:r>
      <w:r>
        <w:rPr>
          <w:spacing w:val="-6"/>
        </w:rPr>
        <w:t> </w:t>
      </w:r>
      <w:r>
        <w:rPr/>
        <w:t>working</w:t>
      </w:r>
      <w:r>
        <w:rPr>
          <w:spacing w:val="-6"/>
        </w:rPr>
        <w:t> </w:t>
      </w:r>
      <w:r>
        <w:rPr/>
        <w:t>capital</w:t>
      </w:r>
      <w:r>
        <w:rPr>
          <w:spacing w:val="-6"/>
        </w:rPr>
        <w:t> </w:t>
      </w:r>
      <w:r>
        <w:rPr/>
        <w:t>performance</w:t>
      </w:r>
      <w:r>
        <w:rPr>
          <w:spacing w:val="-6"/>
        </w:rPr>
        <w:t> </w:t>
      </w:r>
      <w:r>
        <w:rPr/>
        <w:t>against industry peers and sector standards.</w:t>
      </w:r>
    </w:p>
    <w:p>
      <w:pPr>
        <w:pStyle w:val="BodyText"/>
        <w:spacing w:before="43"/>
      </w:pPr>
    </w:p>
    <w:p>
      <w:pPr>
        <w:pStyle w:val="BodyText"/>
        <w:spacing w:line="208" w:lineRule="auto" w:before="0"/>
        <w:ind w:left="120" w:right="1633"/>
      </w:pPr>
      <w:r>
        <w:rPr>
          <w:rFonts w:ascii="Arial"/>
          <w:b/>
        </w:rPr>
        <w:t>Correlational</w:t>
      </w:r>
      <w:r>
        <w:rPr>
          <w:rFonts w:ascii="Arial"/>
          <w:b/>
          <w:spacing w:val="-6"/>
        </w:rPr>
        <w:t> </w:t>
      </w:r>
      <w:r>
        <w:rPr>
          <w:rFonts w:ascii="Arial"/>
          <w:b/>
        </w:rPr>
        <w:t>Analysis:</w:t>
      </w:r>
      <w:r>
        <w:rPr>
          <w:rFonts w:ascii="Arial"/>
          <w:b/>
          <w:spacing w:val="-6"/>
        </w:rPr>
        <w:t> </w:t>
      </w:r>
      <w:r>
        <w:rPr/>
        <w:t>Investigation</w:t>
      </w:r>
      <w:r>
        <w:rPr>
          <w:spacing w:val="-6"/>
        </w:rPr>
        <w:t> </w:t>
      </w:r>
      <w:r>
        <w:rPr/>
        <w:t>of</w:t>
      </w:r>
      <w:r>
        <w:rPr>
          <w:spacing w:val="-6"/>
        </w:rPr>
        <w:t> </w:t>
      </w:r>
      <w:r>
        <w:rPr/>
        <w:t>relationships</w:t>
      </w:r>
      <w:r>
        <w:rPr>
          <w:spacing w:val="-6"/>
        </w:rPr>
        <w:t> </w:t>
      </w:r>
      <w:r>
        <w:rPr/>
        <w:t>between</w:t>
      </w:r>
      <w:r>
        <w:rPr>
          <w:spacing w:val="-6"/>
        </w:rPr>
        <w:t> </w:t>
      </w:r>
      <w:r>
        <w:rPr/>
        <w:t>working</w:t>
      </w:r>
      <w:r>
        <w:rPr>
          <w:spacing w:val="-6"/>
        </w:rPr>
        <w:t> </w:t>
      </w:r>
      <w:r>
        <w:rPr/>
        <w:t>capital metrics and financial performance indicators.</w:t>
      </w:r>
    </w:p>
    <w:p>
      <w:pPr>
        <w:pStyle w:val="BodyText"/>
        <w:spacing w:before="44"/>
      </w:pPr>
    </w:p>
    <w:p>
      <w:pPr>
        <w:pStyle w:val="BodyText"/>
        <w:spacing w:line="208" w:lineRule="auto" w:before="0"/>
        <w:ind w:left="120" w:right="1633"/>
      </w:pPr>
      <w:r>
        <w:rPr>
          <w:rFonts w:ascii="Arial"/>
          <w:b/>
        </w:rPr>
        <w:t>Case</w:t>
      </w:r>
      <w:r>
        <w:rPr>
          <w:rFonts w:ascii="Arial"/>
          <w:b/>
          <w:spacing w:val="-4"/>
        </w:rPr>
        <w:t> </w:t>
      </w:r>
      <w:r>
        <w:rPr>
          <w:rFonts w:ascii="Arial"/>
          <w:b/>
        </w:rPr>
        <w:t>Study</w:t>
      </w:r>
      <w:r>
        <w:rPr>
          <w:rFonts w:ascii="Arial"/>
          <w:b/>
          <w:spacing w:val="-4"/>
        </w:rPr>
        <w:t> </w:t>
      </w:r>
      <w:r>
        <w:rPr>
          <w:rFonts w:ascii="Arial"/>
          <w:b/>
        </w:rPr>
        <w:t>Approach:</w:t>
      </w:r>
      <w:r>
        <w:rPr>
          <w:rFonts w:ascii="Arial"/>
          <w:b/>
          <w:spacing w:val="-4"/>
        </w:rPr>
        <w:t> </w:t>
      </w:r>
      <w:r>
        <w:rPr/>
        <w:t>In-depth</w:t>
      </w:r>
      <w:r>
        <w:rPr>
          <w:spacing w:val="-4"/>
        </w:rPr>
        <w:t> </w:t>
      </w:r>
      <w:r>
        <w:rPr/>
        <w:t>examination</w:t>
      </w:r>
      <w:r>
        <w:rPr>
          <w:spacing w:val="-4"/>
        </w:rPr>
        <w:t> </w:t>
      </w:r>
      <w:r>
        <w:rPr/>
        <w:t>of</w:t>
      </w:r>
      <w:r>
        <w:rPr>
          <w:spacing w:val="-4"/>
        </w:rPr>
        <w:t> </w:t>
      </w:r>
      <w:r>
        <w:rPr/>
        <w:t>RIL</w:t>
      </w:r>
      <w:r>
        <w:rPr>
          <w:spacing w:val="-4"/>
        </w:rPr>
        <w:t> </w:t>
      </w:r>
      <w:r>
        <w:rPr/>
        <w:t>as</w:t>
      </w:r>
      <w:r>
        <w:rPr>
          <w:spacing w:val="-4"/>
        </w:rPr>
        <w:t> </w:t>
      </w:r>
      <w:r>
        <w:rPr/>
        <w:t>a</w:t>
      </w:r>
      <w:r>
        <w:rPr>
          <w:spacing w:val="-4"/>
        </w:rPr>
        <w:t> </w:t>
      </w:r>
      <w:r>
        <w:rPr/>
        <w:t>representative</w:t>
      </w:r>
      <w:r>
        <w:rPr>
          <w:spacing w:val="-4"/>
        </w:rPr>
        <w:t> </w:t>
      </w:r>
      <w:r>
        <w:rPr/>
        <w:t>case</w:t>
      </w:r>
      <w:r>
        <w:rPr>
          <w:spacing w:val="-4"/>
        </w:rPr>
        <w:t> </w:t>
      </w:r>
      <w:r>
        <w:rPr/>
        <w:t>of working capital management in a diversified conglomerate.</w:t>
      </w:r>
    </w:p>
    <w:p>
      <w:pPr>
        <w:pStyle w:val="BodyText"/>
        <w:spacing w:before="44"/>
      </w:pPr>
    </w:p>
    <w:p>
      <w:pPr>
        <w:pStyle w:val="BodyText"/>
        <w:spacing w:line="208" w:lineRule="auto" w:before="0"/>
        <w:ind w:left="120" w:right="1633"/>
      </w:pPr>
      <w:r>
        <w:rPr>
          <w:rFonts w:ascii="Arial"/>
          <w:b/>
        </w:rPr>
        <w:t>Cross-Sectional</w:t>
      </w:r>
      <w:r>
        <w:rPr>
          <w:rFonts w:ascii="Arial"/>
          <w:b/>
          <w:spacing w:val="-5"/>
        </w:rPr>
        <w:t> </w:t>
      </w:r>
      <w:r>
        <w:rPr>
          <w:rFonts w:ascii="Arial"/>
          <w:b/>
        </w:rPr>
        <w:t>Analysis:</w:t>
      </w:r>
      <w:r>
        <w:rPr>
          <w:rFonts w:ascii="Arial"/>
          <w:b/>
          <w:spacing w:val="-5"/>
        </w:rPr>
        <w:t> </w:t>
      </w:r>
      <w:r>
        <w:rPr/>
        <w:t>Comparison</w:t>
      </w:r>
      <w:r>
        <w:rPr>
          <w:spacing w:val="-5"/>
        </w:rPr>
        <w:t> </w:t>
      </w:r>
      <w:r>
        <w:rPr/>
        <w:t>of</w:t>
      </w:r>
      <w:r>
        <w:rPr>
          <w:spacing w:val="-5"/>
        </w:rPr>
        <w:t> </w:t>
      </w:r>
      <w:r>
        <w:rPr/>
        <w:t>working</w:t>
      </w:r>
      <w:r>
        <w:rPr>
          <w:spacing w:val="-5"/>
        </w:rPr>
        <w:t> </w:t>
      </w:r>
      <w:r>
        <w:rPr/>
        <w:t>capital</w:t>
      </w:r>
      <w:r>
        <w:rPr>
          <w:spacing w:val="-5"/>
        </w:rPr>
        <w:t> </w:t>
      </w:r>
      <w:r>
        <w:rPr/>
        <w:t>practices</w:t>
      </w:r>
      <w:r>
        <w:rPr>
          <w:spacing w:val="-5"/>
        </w:rPr>
        <w:t> </w:t>
      </w:r>
      <w:r>
        <w:rPr/>
        <w:t>across</w:t>
      </w:r>
      <w:r>
        <w:rPr>
          <w:spacing w:val="-5"/>
        </w:rPr>
        <w:t> </w:t>
      </w:r>
      <w:r>
        <w:rPr/>
        <w:t>RIL's business segments to identify segment-specific patterns and requirements.</w:t>
      </w:r>
    </w:p>
    <w:p>
      <w:pPr>
        <w:pStyle w:val="BodyText"/>
        <w:spacing w:before="44"/>
      </w:pPr>
    </w:p>
    <w:p>
      <w:pPr>
        <w:pStyle w:val="BodyText"/>
        <w:spacing w:line="208" w:lineRule="auto" w:before="0"/>
        <w:ind w:left="120" w:right="1633"/>
      </w:pPr>
      <w:r>
        <w:rPr/>
        <w:t>This</w:t>
      </w:r>
      <w:r>
        <w:rPr>
          <w:spacing w:val="-5"/>
        </w:rPr>
        <w:t> </w:t>
      </w:r>
      <w:r>
        <w:rPr/>
        <w:t>multi-faceted</w:t>
      </w:r>
      <w:r>
        <w:rPr>
          <w:spacing w:val="-5"/>
        </w:rPr>
        <w:t> </w:t>
      </w:r>
      <w:r>
        <w:rPr/>
        <w:t>design</w:t>
      </w:r>
      <w:r>
        <w:rPr>
          <w:spacing w:val="-5"/>
        </w:rPr>
        <w:t> </w:t>
      </w:r>
      <w:r>
        <w:rPr/>
        <w:t>enables</w:t>
      </w:r>
      <w:r>
        <w:rPr>
          <w:spacing w:val="-5"/>
        </w:rPr>
        <w:t> </w:t>
      </w:r>
      <w:r>
        <w:rPr/>
        <w:t>a</w:t>
      </w:r>
      <w:r>
        <w:rPr>
          <w:spacing w:val="-5"/>
        </w:rPr>
        <w:t> </w:t>
      </w:r>
      <w:r>
        <w:rPr/>
        <w:t>comprehensive</w:t>
      </w:r>
      <w:r>
        <w:rPr>
          <w:spacing w:val="-5"/>
        </w:rPr>
        <w:t> </w:t>
      </w:r>
      <w:r>
        <w:rPr/>
        <w:t>understanding</w:t>
      </w:r>
      <w:r>
        <w:rPr>
          <w:spacing w:val="-5"/>
        </w:rPr>
        <w:t> </w:t>
      </w:r>
      <w:r>
        <w:rPr/>
        <w:t>of</w:t>
      </w:r>
      <w:r>
        <w:rPr>
          <w:spacing w:val="-5"/>
        </w:rPr>
        <w:t> </w:t>
      </w:r>
      <w:r>
        <w:rPr/>
        <w:t>RIL's</w:t>
      </w:r>
      <w:r>
        <w:rPr>
          <w:spacing w:val="-5"/>
        </w:rPr>
        <w:t> </w:t>
      </w:r>
      <w:r>
        <w:rPr/>
        <w:t>working capital management practices while facilitating the development of actionable </w:t>
      </w:r>
      <w:r>
        <w:rPr>
          <w:spacing w:val="-2"/>
        </w:rPr>
        <w:t>recommendations.</w:t>
      </w:r>
    </w:p>
    <w:p>
      <w:pPr>
        <w:pStyle w:val="BodyText"/>
        <w:spacing w:before="99"/>
      </w:pPr>
    </w:p>
    <w:p>
      <w:pPr>
        <w:pStyle w:val="Heading2"/>
        <w:numPr>
          <w:ilvl w:val="1"/>
          <w:numId w:val="3"/>
        </w:numPr>
        <w:tabs>
          <w:tab w:pos="653" w:val="left" w:leader="none"/>
        </w:tabs>
        <w:spacing w:line="240" w:lineRule="auto" w:before="0" w:after="0"/>
        <w:ind w:left="653" w:right="0" w:hanging="533"/>
        <w:jc w:val="left"/>
      </w:pPr>
      <w:r>
        <w:rPr/>
        <w:t>Data </w:t>
      </w:r>
      <w:r>
        <w:rPr>
          <w:spacing w:val="-2"/>
        </w:rPr>
        <w:t>Collection</w:t>
      </w:r>
    </w:p>
    <w:p>
      <w:pPr>
        <w:pStyle w:val="BodyText"/>
        <w:spacing w:before="22"/>
        <w:rPr>
          <w:rFonts w:ascii="Arial"/>
          <w:b/>
          <w:sz w:val="32"/>
        </w:rPr>
      </w:pPr>
    </w:p>
    <w:p>
      <w:pPr>
        <w:pStyle w:val="Heading3"/>
        <w:numPr>
          <w:ilvl w:val="2"/>
          <w:numId w:val="3"/>
        </w:numPr>
        <w:tabs>
          <w:tab w:pos="820" w:val="left" w:leader="none"/>
        </w:tabs>
        <w:spacing w:line="240" w:lineRule="auto" w:before="0" w:after="0"/>
        <w:ind w:left="820" w:right="0" w:hanging="700"/>
        <w:jc w:val="left"/>
      </w:pPr>
      <w:r>
        <w:rPr/>
        <w:t>Data </w:t>
      </w:r>
      <w:r>
        <w:rPr>
          <w:spacing w:val="-2"/>
        </w:rPr>
        <w:t>Sources</w:t>
      </w:r>
    </w:p>
    <w:p>
      <w:pPr>
        <w:pStyle w:val="BodyText"/>
        <w:spacing w:line="208" w:lineRule="auto" w:before="305"/>
        <w:ind w:left="120" w:right="1633"/>
      </w:pPr>
      <w:r>
        <w:rPr/>
        <w:t>The</w:t>
      </w:r>
      <w:r>
        <w:rPr>
          <w:spacing w:val="-4"/>
        </w:rPr>
        <w:t> </w:t>
      </w:r>
      <w:r>
        <w:rPr/>
        <w:t>study</w:t>
      </w:r>
      <w:r>
        <w:rPr>
          <w:spacing w:val="-4"/>
        </w:rPr>
        <w:t> </w:t>
      </w:r>
      <w:r>
        <w:rPr/>
        <w:t>utilizes</w:t>
      </w:r>
      <w:r>
        <w:rPr>
          <w:spacing w:val="-4"/>
        </w:rPr>
        <w:t> </w:t>
      </w:r>
      <w:r>
        <w:rPr/>
        <w:t>data</w:t>
      </w:r>
      <w:r>
        <w:rPr>
          <w:spacing w:val="-4"/>
        </w:rPr>
        <w:t> </w:t>
      </w:r>
      <w:r>
        <w:rPr/>
        <w:t>from</w:t>
      </w:r>
      <w:r>
        <w:rPr>
          <w:spacing w:val="-4"/>
        </w:rPr>
        <w:t> </w:t>
      </w:r>
      <w:r>
        <w:rPr/>
        <w:t>various</w:t>
      </w:r>
      <w:r>
        <w:rPr>
          <w:spacing w:val="-4"/>
        </w:rPr>
        <w:t> </w:t>
      </w:r>
      <w:r>
        <w:rPr/>
        <w:t>sources</w:t>
      </w:r>
      <w:r>
        <w:rPr>
          <w:spacing w:val="-4"/>
        </w:rPr>
        <w:t> </w:t>
      </w:r>
      <w:r>
        <w:rPr/>
        <w:t>to</w:t>
      </w:r>
      <w:r>
        <w:rPr>
          <w:spacing w:val="-4"/>
        </w:rPr>
        <w:t> </w:t>
      </w:r>
      <w:r>
        <w:rPr/>
        <w:t>ensure</w:t>
      </w:r>
      <w:r>
        <w:rPr>
          <w:spacing w:val="-4"/>
        </w:rPr>
        <w:t> </w:t>
      </w:r>
      <w:r>
        <w:rPr/>
        <w:t>comprehensiveness</w:t>
      </w:r>
      <w:r>
        <w:rPr>
          <w:spacing w:val="-4"/>
        </w:rPr>
        <w:t> </w:t>
      </w:r>
      <w:r>
        <w:rPr/>
        <w:t>and </w:t>
      </w:r>
      <w:r>
        <w:rPr>
          <w:spacing w:val="-2"/>
        </w:rPr>
        <w:t>reliability:</w:t>
      </w:r>
    </w:p>
    <w:p>
      <w:pPr>
        <w:pStyle w:val="BodyText"/>
        <w:spacing w:before="14"/>
      </w:pPr>
    </w:p>
    <w:p>
      <w:pPr>
        <w:pStyle w:val="Heading4"/>
      </w:pPr>
      <w:r>
        <w:rPr/>
        <w:t>Primary Data </w:t>
      </w:r>
      <w:r>
        <w:rPr>
          <w:spacing w:val="-2"/>
        </w:rPr>
        <w:t>Sources:</w:t>
      </w:r>
    </w:p>
    <w:p>
      <w:pPr>
        <w:pStyle w:val="ListParagraph"/>
        <w:numPr>
          <w:ilvl w:val="3"/>
          <w:numId w:val="3"/>
        </w:numPr>
        <w:tabs>
          <w:tab w:pos="266" w:val="left" w:leader="none"/>
        </w:tabs>
        <w:spacing w:line="240" w:lineRule="auto" w:before="84" w:after="0"/>
        <w:ind w:left="266" w:right="0" w:hanging="146"/>
        <w:jc w:val="left"/>
        <w:rPr>
          <w:sz w:val="24"/>
        </w:rPr>
      </w:pPr>
      <w:r>
        <w:rPr>
          <w:sz w:val="24"/>
        </w:rPr>
        <w:t>RIL's Annual Reports (FY2020-21 to FY2024-</w:t>
      </w:r>
      <w:r>
        <w:rPr>
          <w:spacing w:val="-5"/>
          <w:sz w:val="24"/>
        </w:rPr>
        <w:t>25)</w:t>
      </w:r>
    </w:p>
    <w:p>
      <w:pPr>
        <w:pStyle w:val="ListParagraph"/>
        <w:spacing w:after="0" w:line="240" w:lineRule="auto"/>
        <w:jc w:val="left"/>
        <w:rPr>
          <w:sz w:val="24"/>
        </w:rPr>
        <w:sectPr>
          <w:pgSz w:w="12240" w:h="15840"/>
          <w:pgMar w:top="1500" w:bottom="280" w:left="1440" w:right="0"/>
        </w:sectPr>
      </w:pPr>
    </w:p>
    <w:p>
      <w:pPr>
        <w:pStyle w:val="ListParagraph"/>
        <w:numPr>
          <w:ilvl w:val="3"/>
          <w:numId w:val="3"/>
        </w:numPr>
        <w:tabs>
          <w:tab w:pos="266" w:val="left" w:leader="none"/>
        </w:tabs>
        <w:spacing w:line="240" w:lineRule="auto" w:before="75" w:after="0"/>
        <w:ind w:left="266" w:right="0" w:hanging="146"/>
        <w:jc w:val="left"/>
        <w:rPr>
          <w:sz w:val="24"/>
        </w:rPr>
      </w:pPr>
      <w:r>
        <w:rPr>
          <w:sz w:val="24"/>
        </w:rPr>
        <w:t>Quarterly Financial </w:t>
      </w:r>
      <w:r>
        <w:rPr>
          <w:spacing w:val="-2"/>
          <w:sz w:val="24"/>
        </w:rPr>
        <w:t>Statements</w:t>
      </w:r>
    </w:p>
    <w:p>
      <w:pPr>
        <w:pStyle w:val="ListParagraph"/>
        <w:numPr>
          <w:ilvl w:val="3"/>
          <w:numId w:val="3"/>
        </w:numPr>
        <w:tabs>
          <w:tab w:pos="266" w:val="left" w:leader="none"/>
        </w:tabs>
        <w:spacing w:line="240" w:lineRule="auto" w:before="84" w:after="0"/>
        <w:ind w:left="266" w:right="0" w:hanging="146"/>
        <w:jc w:val="left"/>
        <w:rPr>
          <w:sz w:val="24"/>
        </w:rPr>
      </w:pPr>
      <w:r>
        <w:rPr>
          <w:sz w:val="24"/>
        </w:rPr>
        <w:t>Investor Presentations and Earnings Call </w:t>
      </w:r>
      <w:r>
        <w:rPr>
          <w:spacing w:val="-2"/>
          <w:sz w:val="24"/>
        </w:rPr>
        <w:t>Transcripts</w:t>
      </w:r>
    </w:p>
    <w:p>
      <w:pPr>
        <w:pStyle w:val="ListParagraph"/>
        <w:numPr>
          <w:ilvl w:val="3"/>
          <w:numId w:val="3"/>
        </w:numPr>
        <w:tabs>
          <w:tab w:pos="266" w:val="left" w:leader="none"/>
        </w:tabs>
        <w:spacing w:line="240" w:lineRule="auto" w:before="84" w:after="0"/>
        <w:ind w:left="266" w:right="0" w:hanging="146"/>
        <w:jc w:val="left"/>
        <w:rPr>
          <w:sz w:val="24"/>
        </w:rPr>
      </w:pPr>
      <w:r>
        <w:rPr>
          <w:sz w:val="24"/>
        </w:rPr>
        <w:t>Corporate Governance </w:t>
      </w:r>
      <w:r>
        <w:rPr>
          <w:spacing w:val="-2"/>
          <w:sz w:val="24"/>
        </w:rPr>
        <w:t>Reports</w:t>
      </w:r>
    </w:p>
    <w:p>
      <w:pPr>
        <w:pStyle w:val="ListParagraph"/>
        <w:numPr>
          <w:ilvl w:val="3"/>
          <w:numId w:val="3"/>
        </w:numPr>
        <w:tabs>
          <w:tab w:pos="266" w:val="left" w:leader="none"/>
        </w:tabs>
        <w:spacing w:line="240" w:lineRule="auto" w:before="84" w:after="0"/>
        <w:ind w:left="266" w:right="0" w:hanging="146"/>
        <w:jc w:val="left"/>
        <w:rPr>
          <w:sz w:val="24"/>
        </w:rPr>
      </w:pPr>
      <w:r>
        <w:rPr>
          <w:sz w:val="24"/>
        </w:rPr>
        <w:t>Company Website and Official </w:t>
      </w:r>
      <w:r>
        <w:rPr>
          <w:spacing w:val="-2"/>
          <w:sz w:val="24"/>
        </w:rPr>
        <w:t>Publications</w:t>
      </w:r>
    </w:p>
    <w:p>
      <w:pPr>
        <w:pStyle w:val="BodyText"/>
        <w:spacing w:before="8"/>
      </w:pPr>
    </w:p>
    <w:p>
      <w:pPr>
        <w:pStyle w:val="Heading4"/>
      </w:pPr>
      <w:r>
        <w:rPr/>
        <w:t>Secondary Data </w:t>
      </w:r>
      <w:r>
        <w:rPr>
          <w:spacing w:val="-2"/>
        </w:rPr>
        <w:t>Sources:</w:t>
      </w:r>
    </w:p>
    <w:p>
      <w:pPr>
        <w:pStyle w:val="ListParagraph"/>
        <w:numPr>
          <w:ilvl w:val="3"/>
          <w:numId w:val="3"/>
        </w:numPr>
        <w:tabs>
          <w:tab w:pos="266" w:val="left" w:leader="none"/>
        </w:tabs>
        <w:spacing w:line="240" w:lineRule="auto" w:before="84" w:after="0"/>
        <w:ind w:left="266" w:right="0" w:hanging="146"/>
        <w:jc w:val="left"/>
        <w:rPr>
          <w:sz w:val="24"/>
        </w:rPr>
      </w:pPr>
      <w:r>
        <w:rPr>
          <w:sz w:val="24"/>
        </w:rPr>
        <w:t>Financial Databases (Bloomberg, Capital IQ, </w:t>
      </w:r>
      <w:r>
        <w:rPr>
          <w:spacing w:val="-2"/>
          <w:sz w:val="24"/>
        </w:rPr>
        <w:t>Refinitiv)</w:t>
      </w:r>
    </w:p>
    <w:p>
      <w:pPr>
        <w:pStyle w:val="ListParagraph"/>
        <w:numPr>
          <w:ilvl w:val="3"/>
          <w:numId w:val="3"/>
        </w:numPr>
        <w:tabs>
          <w:tab w:pos="266" w:val="left" w:leader="none"/>
        </w:tabs>
        <w:spacing w:line="240" w:lineRule="auto" w:before="84" w:after="0"/>
        <w:ind w:left="266" w:right="0" w:hanging="146"/>
        <w:jc w:val="left"/>
        <w:rPr>
          <w:sz w:val="24"/>
        </w:rPr>
      </w:pPr>
      <w:r>
        <w:rPr>
          <w:sz w:val="24"/>
        </w:rPr>
        <w:t>Industry Reports and </w:t>
      </w:r>
      <w:r>
        <w:rPr>
          <w:spacing w:val="-2"/>
          <w:sz w:val="24"/>
        </w:rPr>
        <w:t>Publications</w:t>
      </w:r>
    </w:p>
    <w:p>
      <w:pPr>
        <w:pStyle w:val="ListParagraph"/>
        <w:numPr>
          <w:ilvl w:val="3"/>
          <w:numId w:val="3"/>
        </w:numPr>
        <w:tabs>
          <w:tab w:pos="266" w:val="left" w:leader="none"/>
        </w:tabs>
        <w:spacing w:line="240" w:lineRule="auto" w:before="84" w:after="0"/>
        <w:ind w:left="266" w:right="0" w:hanging="146"/>
        <w:jc w:val="left"/>
        <w:rPr>
          <w:sz w:val="24"/>
        </w:rPr>
      </w:pPr>
      <w:r>
        <w:rPr>
          <w:sz w:val="24"/>
        </w:rPr>
        <w:t>Analyst Reports on RIL and Peer </w:t>
      </w:r>
      <w:r>
        <w:rPr>
          <w:spacing w:val="-2"/>
          <w:sz w:val="24"/>
        </w:rPr>
        <w:t>Companies</w:t>
      </w:r>
    </w:p>
    <w:p>
      <w:pPr>
        <w:pStyle w:val="ListParagraph"/>
        <w:numPr>
          <w:ilvl w:val="3"/>
          <w:numId w:val="3"/>
        </w:numPr>
        <w:tabs>
          <w:tab w:pos="266" w:val="left" w:leader="none"/>
        </w:tabs>
        <w:spacing w:line="240" w:lineRule="auto" w:before="84" w:after="0"/>
        <w:ind w:left="266" w:right="0" w:hanging="146"/>
        <w:jc w:val="left"/>
        <w:rPr>
          <w:sz w:val="24"/>
        </w:rPr>
      </w:pPr>
      <w:r>
        <w:rPr>
          <w:sz w:val="24"/>
        </w:rPr>
        <w:t>Academic Research Papers and </w:t>
      </w:r>
      <w:r>
        <w:rPr>
          <w:spacing w:val="-2"/>
          <w:sz w:val="24"/>
        </w:rPr>
        <w:t>Publications</w:t>
      </w:r>
    </w:p>
    <w:p>
      <w:pPr>
        <w:pStyle w:val="ListParagraph"/>
        <w:numPr>
          <w:ilvl w:val="3"/>
          <w:numId w:val="3"/>
        </w:numPr>
        <w:tabs>
          <w:tab w:pos="266" w:val="left" w:leader="none"/>
        </w:tabs>
        <w:spacing w:line="240" w:lineRule="auto" w:before="84" w:after="0"/>
        <w:ind w:left="266" w:right="0" w:hanging="146"/>
        <w:jc w:val="left"/>
        <w:rPr>
          <w:sz w:val="24"/>
        </w:rPr>
      </w:pPr>
      <w:r>
        <w:rPr>
          <w:sz w:val="24"/>
        </w:rPr>
        <w:t>Business News Articles and Financial </w:t>
      </w:r>
      <w:r>
        <w:rPr>
          <w:spacing w:val="-2"/>
          <w:sz w:val="24"/>
        </w:rPr>
        <w:t>Media</w:t>
      </w:r>
    </w:p>
    <w:p>
      <w:pPr>
        <w:pStyle w:val="BodyText"/>
        <w:spacing w:before="8"/>
      </w:pPr>
    </w:p>
    <w:p>
      <w:pPr>
        <w:pStyle w:val="Heading4"/>
      </w:pPr>
      <w:r>
        <w:rPr/>
        <w:t>Tertiary </w:t>
      </w:r>
      <w:r>
        <w:rPr>
          <w:spacing w:val="-2"/>
        </w:rPr>
        <w:t>Sources:</w:t>
      </w:r>
    </w:p>
    <w:p>
      <w:pPr>
        <w:pStyle w:val="ListParagraph"/>
        <w:numPr>
          <w:ilvl w:val="3"/>
          <w:numId w:val="3"/>
        </w:numPr>
        <w:tabs>
          <w:tab w:pos="266" w:val="left" w:leader="none"/>
        </w:tabs>
        <w:spacing w:line="240" w:lineRule="auto" w:before="84" w:after="0"/>
        <w:ind w:left="266" w:right="0" w:hanging="146"/>
        <w:jc w:val="left"/>
        <w:rPr>
          <w:sz w:val="24"/>
        </w:rPr>
      </w:pPr>
      <w:r>
        <w:rPr>
          <w:sz w:val="24"/>
        </w:rPr>
        <w:t>Government Publications and Economic </w:t>
      </w:r>
      <w:r>
        <w:rPr>
          <w:spacing w:val="-4"/>
          <w:sz w:val="24"/>
        </w:rPr>
        <w:t>Data</w:t>
      </w:r>
    </w:p>
    <w:p>
      <w:pPr>
        <w:pStyle w:val="ListParagraph"/>
        <w:numPr>
          <w:ilvl w:val="3"/>
          <w:numId w:val="3"/>
        </w:numPr>
        <w:tabs>
          <w:tab w:pos="266" w:val="left" w:leader="none"/>
        </w:tabs>
        <w:spacing w:line="240" w:lineRule="auto" w:before="84" w:after="0"/>
        <w:ind w:left="266" w:right="0" w:hanging="146"/>
        <w:jc w:val="left"/>
        <w:rPr>
          <w:sz w:val="24"/>
        </w:rPr>
      </w:pPr>
      <w:r>
        <w:rPr>
          <w:sz w:val="24"/>
        </w:rPr>
        <w:t>Central Bank Reports and Financial Stability </w:t>
      </w:r>
      <w:r>
        <w:rPr>
          <w:spacing w:val="-2"/>
          <w:sz w:val="24"/>
        </w:rPr>
        <w:t>Assessments</w:t>
      </w:r>
    </w:p>
    <w:p>
      <w:pPr>
        <w:pStyle w:val="ListParagraph"/>
        <w:numPr>
          <w:ilvl w:val="3"/>
          <w:numId w:val="3"/>
        </w:numPr>
        <w:tabs>
          <w:tab w:pos="266" w:val="left" w:leader="none"/>
        </w:tabs>
        <w:spacing w:line="240" w:lineRule="auto" w:before="84" w:after="0"/>
        <w:ind w:left="266" w:right="0" w:hanging="146"/>
        <w:jc w:val="left"/>
        <w:rPr>
          <w:sz w:val="24"/>
        </w:rPr>
      </w:pPr>
      <w:r>
        <w:rPr>
          <w:sz w:val="24"/>
        </w:rPr>
        <w:t>Industry Association </w:t>
      </w:r>
      <w:r>
        <w:rPr>
          <w:spacing w:val="-2"/>
          <w:sz w:val="24"/>
        </w:rPr>
        <w:t>Publications</w:t>
      </w:r>
    </w:p>
    <w:p>
      <w:pPr>
        <w:pStyle w:val="ListParagraph"/>
        <w:numPr>
          <w:ilvl w:val="3"/>
          <w:numId w:val="3"/>
        </w:numPr>
        <w:tabs>
          <w:tab w:pos="266" w:val="left" w:leader="none"/>
        </w:tabs>
        <w:spacing w:line="240" w:lineRule="auto" w:before="84" w:after="0"/>
        <w:ind w:left="266" w:right="0" w:hanging="146"/>
        <w:jc w:val="left"/>
        <w:rPr>
          <w:sz w:val="24"/>
        </w:rPr>
      </w:pPr>
      <w:r>
        <w:rPr>
          <w:sz w:val="24"/>
        </w:rPr>
        <w:t>Consulting Firm Research on Working Capital Best </w:t>
      </w:r>
      <w:r>
        <w:rPr>
          <w:spacing w:val="-2"/>
          <w:sz w:val="24"/>
        </w:rPr>
        <w:t>Practices</w:t>
      </w:r>
    </w:p>
    <w:p>
      <w:pPr>
        <w:pStyle w:val="BodyText"/>
        <w:spacing w:before="50"/>
      </w:pPr>
    </w:p>
    <w:p>
      <w:pPr>
        <w:pStyle w:val="Heading3"/>
        <w:numPr>
          <w:ilvl w:val="2"/>
          <w:numId w:val="3"/>
        </w:numPr>
        <w:tabs>
          <w:tab w:pos="820" w:val="left" w:leader="none"/>
        </w:tabs>
        <w:spacing w:line="240" w:lineRule="auto" w:before="0" w:after="0"/>
        <w:ind w:left="820" w:right="0" w:hanging="700"/>
        <w:jc w:val="left"/>
      </w:pPr>
      <w:r>
        <w:rPr/>
        <w:t>Data Collection </w:t>
      </w:r>
      <w:r>
        <w:rPr>
          <w:spacing w:val="-2"/>
        </w:rPr>
        <w:t>Process</w:t>
      </w:r>
    </w:p>
    <w:p>
      <w:pPr>
        <w:pStyle w:val="BodyText"/>
        <w:spacing w:before="276"/>
        <w:ind w:left="120"/>
      </w:pPr>
      <w:r>
        <w:rPr/>
        <w:t>The data collection process followed a systematic </w:t>
      </w:r>
      <w:r>
        <w:rPr>
          <w:spacing w:val="-2"/>
        </w:rPr>
        <w:t>approach:</w:t>
      </w:r>
    </w:p>
    <w:p>
      <w:pPr>
        <w:pStyle w:val="BodyText"/>
        <w:spacing w:before="37"/>
      </w:pPr>
    </w:p>
    <w:p>
      <w:pPr>
        <w:pStyle w:val="ListParagraph"/>
        <w:numPr>
          <w:ilvl w:val="0"/>
          <w:numId w:val="11"/>
        </w:numPr>
        <w:tabs>
          <w:tab w:pos="386" w:val="left" w:leader="none"/>
        </w:tabs>
        <w:spacing w:line="208" w:lineRule="auto" w:before="0" w:after="0"/>
        <w:ind w:left="120" w:right="1987" w:firstLine="0"/>
        <w:jc w:val="left"/>
        <w:rPr>
          <w:sz w:val="24"/>
        </w:rPr>
      </w:pPr>
      <w:r>
        <w:rPr>
          <w:rFonts w:ascii="Arial"/>
          <w:b/>
          <w:sz w:val="24"/>
        </w:rPr>
        <w:t>Initial</w:t>
      </w:r>
      <w:r>
        <w:rPr>
          <w:rFonts w:ascii="Arial"/>
          <w:b/>
          <w:spacing w:val="-5"/>
          <w:sz w:val="24"/>
        </w:rPr>
        <w:t> </w:t>
      </w:r>
      <w:r>
        <w:rPr>
          <w:rFonts w:ascii="Arial"/>
          <w:b/>
          <w:sz w:val="24"/>
        </w:rPr>
        <w:t>Screening:</w:t>
      </w:r>
      <w:r>
        <w:rPr>
          <w:rFonts w:ascii="Arial"/>
          <w:b/>
          <w:spacing w:val="-5"/>
          <w:sz w:val="24"/>
        </w:rPr>
        <w:t> </w:t>
      </w:r>
      <w:r>
        <w:rPr>
          <w:sz w:val="24"/>
        </w:rPr>
        <w:t>Collection</w:t>
      </w:r>
      <w:r>
        <w:rPr>
          <w:spacing w:val="-5"/>
          <w:sz w:val="24"/>
        </w:rPr>
        <w:t> </w:t>
      </w:r>
      <w:r>
        <w:rPr>
          <w:sz w:val="24"/>
        </w:rPr>
        <w:t>and</w:t>
      </w:r>
      <w:r>
        <w:rPr>
          <w:spacing w:val="-5"/>
          <w:sz w:val="24"/>
        </w:rPr>
        <w:t> </w:t>
      </w:r>
      <w:r>
        <w:rPr>
          <w:sz w:val="24"/>
        </w:rPr>
        <w:t>organization</w:t>
      </w:r>
      <w:r>
        <w:rPr>
          <w:spacing w:val="-5"/>
          <w:sz w:val="24"/>
        </w:rPr>
        <w:t> </w:t>
      </w:r>
      <w:r>
        <w:rPr>
          <w:sz w:val="24"/>
        </w:rPr>
        <w:t>of</w:t>
      </w:r>
      <w:r>
        <w:rPr>
          <w:spacing w:val="-5"/>
          <w:sz w:val="24"/>
        </w:rPr>
        <w:t> </w:t>
      </w:r>
      <w:r>
        <w:rPr>
          <w:sz w:val="24"/>
        </w:rPr>
        <w:t>RIL's</w:t>
      </w:r>
      <w:r>
        <w:rPr>
          <w:spacing w:val="-5"/>
          <w:sz w:val="24"/>
        </w:rPr>
        <w:t> </w:t>
      </w:r>
      <w:r>
        <w:rPr>
          <w:sz w:val="24"/>
        </w:rPr>
        <w:t>financial</w:t>
      </w:r>
      <w:r>
        <w:rPr>
          <w:spacing w:val="-5"/>
          <w:sz w:val="24"/>
        </w:rPr>
        <w:t> </w:t>
      </w:r>
      <w:r>
        <w:rPr>
          <w:sz w:val="24"/>
        </w:rPr>
        <w:t>statements</w:t>
      </w:r>
      <w:r>
        <w:rPr>
          <w:spacing w:val="-5"/>
          <w:sz w:val="24"/>
        </w:rPr>
        <w:t> </w:t>
      </w:r>
      <w:r>
        <w:rPr>
          <w:sz w:val="24"/>
        </w:rPr>
        <w:t>and reports for the study period.</w:t>
      </w:r>
    </w:p>
    <w:p>
      <w:pPr>
        <w:pStyle w:val="BodyText"/>
        <w:spacing w:before="44"/>
      </w:pPr>
    </w:p>
    <w:p>
      <w:pPr>
        <w:pStyle w:val="ListParagraph"/>
        <w:numPr>
          <w:ilvl w:val="0"/>
          <w:numId w:val="11"/>
        </w:numPr>
        <w:tabs>
          <w:tab w:pos="386" w:val="left" w:leader="none"/>
        </w:tabs>
        <w:spacing w:line="208" w:lineRule="auto" w:before="0" w:after="0"/>
        <w:ind w:left="120" w:right="2140" w:firstLine="0"/>
        <w:jc w:val="left"/>
        <w:rPr>
          <w:sz w:val="24"/>
        </w:rPr>
      </w:pPr>
      <w:r>
        <w:rPr>
          <w:rFonts w:ascii="Arial"/>
          <w:b/>
          <w:sz w:val="24"/>
        </w:rPr>
        <w:t>Data</w:t>
      </w:r>
      <w:r>
        <w:rPr>
          <w:rFonts w:ascii="Arial"/>
          <w:b/>
          <w:spacing w:val="-5"/>
          <w:sz w:val="24"/>
        </w:rPr>
        <w:t> </w:t>
      </w:r>
      <w:r>
        <w:rPr>
          <w:rFonts w:ascii="Arial"/>
          <w:b/>
          <w:sz w:val="24"/>
        </w:rPr>
        <w:t>Extraction:</w:t>
      </w:r>
      <w:r>
        <w:rPr>
          <w:rFonts w:ascii="Arial"/>
          <w:b/>
          <w:spacing w:val="-5"/>
          <w:sz w:val="24"/>
        </w:rPr>
        <w:t> </w:t>
      </w:r>
      <w:r>
        <w:rPr>
          <w:sz w:val="24"/>
        </w:rPr>
        <w:t>Extraction</w:t>
      </w:r>
      <w:r>
        <w:rPr>
          <w:spacing w:val="-5"/>
          <w:sz w:val="24"/>
        </w:rPr>
        <w:t> </w:t>
      </w:r>
      <w:r>
        <w:rPr>
          <w:sz w:val="24"/>
        </w:rPr>
        <w:t>of</w:t>
      </w:r>
      <w:r>
        <w:rPr>
          <w:spacing w:val="-5"/>
          <w:sz w:val="24"/>
        </w:rPr>
        <w:t> </w:t>
      </w:r>
      <w:r>
        <w:rPr>
          <w:sz w:val="24"/>
        </w:rPr>
        <w:t>relevant</w:t>
      </w:r>
      <w:r>
        <w:rPr>
          <w:spacing w:val="-5"/>
          <w:sz w:val="24"/>
        </w:rPr>
        <w:t> </w:t>
      </w:r>
      <w:r>
        <w:rPr>
          <w:sz w:val="24"/>
        </w:rPr>
        <w:t>financial</w:t>
      </w:r>
      <w:r>
        <w:rPr>
          <w:spacing w:val="-5"/>
          <w:sz w:val="24"/>
        </w:rPr>
        <w:t> </w:t>
      </w:r>
      <w:r>
        <w:rPr>
          <w:sz w:val="24"/>
        </w:rPr>
        <w:t>data</w:t>
      </w:r>
      <w:r>
        <w:rPr>
          <w:spacing w:val="-5"/>
          <w:sz w:val="24"/>
        </w:rPr>
        <w:t> </w:t>
      </w:r>
      <w:r>
        <w:rPr>
          <w:sz w:val="24"/>
        </w:rPr>
        <w:t>points</w:t>
      </w:r>
      <w:r>
        <w:rPr>
          <w:spacing w:val="-5"/>
          <w:sz w:val="24"/>
        </w:rPr>
        <w:t> </w:t>
      </w:r>
      <w:r>
        <w:rPr>
          <w:sz w:val="24"/>
        </w:rPr>
        <w:t>including</w:t>
      </w:r>
      <w:r>
        <w:rPr>
          <w:spacing w:val="-5"/>
          <w:sz w:val="24"/>
        </w:rPr>
        <w:t> </w:t>
      </w:r>
      <w:r>
        <w:rPr>
          <w:sz w:val="24"/>
        </w:rPr>
        <w:t>balance sheet items, income statement metrics, and cash flow components.</w:t>
      </w:r>
    </w:p>
    <w:p>
      <w:pPr>
        <w:pStyle w:val="BodyText"/>
        <w:spacing w:before="44"/>
      </w:pPr>
    </w:p>
    <w:p>
      <w:pPr>
        <w:pStyle w:val="ListParagraph"/>
        <w:numPr>
          <w:ilvl w:val="0"/>
          <w:numId w:val="11"/>
        </w:numPr>
        <w:tabs>
          <w:tab w:pos="386" w:val="left" w:leader="none"/>
        </w:tabs>
        <w:spacing w:line="208" w:lineRule="auto" w:before="0" w:after="0"/>
        <w:ind w:left="120" w:right="2088" w:firstLine="0"/>
        <w:jc w:val="left"/>
        <w:rPr>
          <w:sz w:val="24"/>
        </w:rPr>
      </w:pPr>
      <w:r>
        <w:rPr>
          <w:rFonts w:ascii="Arial"/>
          <w:b/>
          <w:sz w:val="24"/>
        </w:rPr>
        <w:t>Data</w:t>
      </w:r>
      <w:r>
        <w:rPr>
          <w:rFonts w:ascii="Arial"/>
          <w:b/>
          <w:spacing w:val="-5"/>
          <w:sz w:val="24"/>
        </w:rPr>
        <w:t> </w:t>
      </w:r>
      <w:r>
        <w:rPr>
          <w:rFonts w:ascii="Arial"/>
          <w:b/>
          <w:sz w:val="24"/>
        </w:rPr>
        <w:t>Validation:</w:t>
      </w:r>
      <w:r>
        <w:rPr>
          <w:rFonts w:ascii="Arial"/>
          <w:b/>
          <w:spacing w:val="-5"/>
          <w:sz w:val="24"/>
        </w:rPr>
        <w:t> </w:t>
      </w:r>
      <w:r>
        <w:rPr>
          <w:sz w:val="24"/>
        </w:rPr>
        <w:t>Cross-verification</w:t>
      </w:r>
      <w:r>
        <w:rPr>
          <w:spacing w:val="-5"/>
          <w:sz w:val="24"/>
        </w:rPr>
        <w:t> </w:t>
      </w:r>
      <w:r>
        <w:rPr>
          <w:sz w:val="24"/>
        </w:rPr>
        <w:t>of</w:t>
      </w:r>
      <w:r>
        <w:rPr>
          <w:spacing w:val="-5"/>
          <w:sz w:val="24"/>
        </w:rPr>
        <w:t> </w:t>
      </w:r>
      <w:r>
        <w:rPr>
          <w:sz w:val="24"/>
        </w:rPr>
        <w:t>financial</w:t>
      </w:r>
      <w:r>
        <w:rPr>
          <w:spacing w:val="-5"/>
          <w:sz w:val="24"/>
        </w:rPr>
        <w:t> </w:t>
      </w:r>
      <w:r>
        <w:rPr>
          <w:sz w:val="24"/>
        </w:rPr>
        <w:t>data</w:t>
      </w:r>
      <w:r>
        <w:rPr>
          <w:spacing w:val="-5"/>
          <w:sz w:val="24"/>
        </w:rPr>
        <w:t> </w:t>
      </w:r>
      <w:r>
        <w:rPr>
          <w:sz w:val="24"/>
        </w:rPr>
        <w:t>across</w:t>
      </w:r>
      <w:r>
        <w:rPr>
          <w:spacing w:val="-5"/>
          <w:sz w:val="24"/>
        </w:rPr>
        <w:t> </w:t>
      </w:r>
      <w:r>
        <w:rPr>
          <w:sz w:val="24"/>
        </w:rPr>
        <w:t>multiple</w:t>
      </w:r>
      <w:r>
        <w:rPr>
          <w:spacing w:val="-5"/>
          <w:sz w:val="24"/>
        </w:rPr>
        <w:t> </w:t>
      </w:r>
      <w:r>
        <w:rPr>
          <w:sz w:val="24"/>
        </w:rPr>
        <w:t>sources</w:t>
      </w:r>
      <w:r>
        <w:rPr>
          <w:spacing w:val="-5"/>
          <w:sz w:val="24"/>
        </w:rPr>
        <w:t> </w:t>
      </w:r>
      <w:r>
        <w:rPr>
          <w:sz w:val="24"/>
        </w:rPr>
        <w:t>to ensure accuracy and consistency.</w:t>
      </w:r>
    </w:p>
    <w:p>
      <w:pPr>
        <w:pStyle w:val="BodyText"/>
        <w:spacing w:before="44"/>
      </w:pPr>
    </w:p>
    <w:p>
      <w:pPr>
        <w:pStyle w:val="ListParagraph"/>
        <w:numPr>
          <w:ilvl w:val="0"/>
          <w:numId w:val="11"/>
        </w:numPr>
        <w:tabs>
          <w:tab w:pos="386" w:val="left" w:leader="none"/>
        </w:tabs>
        <w:spacing w:line="208" w:lineRule="auto" w:before="0" w:after="0"/>
        <w:ind w:left="120" w:right="1780" w:firstLine="0"/>
        <w:jc w:val="left"/>
        <w:rPr>
          <w:sz w:val="24"/>
        </w:rPr>
      </w:pPr>
      <w:r>
        <w:rPr>
          <w:rFonts w:ascii="Arial"/>
          <w:b/>
          <w:sz w:val="24"/>
        </w:rPr>
        <w:t>Peer Group Selection: </w:t>
      </w:r>
      <w:r>
        <w:rPr>
          <w:sz w:val="24"/>
        </w:rPr>
        <w:t>Identification of appropriate peer companies for benchmarking</w:t>
      </w:r>
      <w:r>
        <w:rPr>
          <w:spacing w:val="-5"/>
          <w:sz w:val="24"/>
        </w:rPr>
        <w:t> </w:t>
      </w:r>
      <w:r>
        <w:rPr>
          <w:sz w:val="24"/>
        </w:rPr>
        <w:t>purposes,</w:t>
      </w:r>
      <w:r>
        <w:rPr>
          <w:spacing w:val="-5"/>
          <w:sz w:val="24"/>
        </w:rPr>
        <w:t> </w:t>
      </w:r>
      <w:r>
        <w:rPr>
          <w:sz w:val="24"/>
        </w:rPr>
        <w:t>considering</w:t>
      </w:r>
      <w:r>
        <w:rPr>
          <w:spacing w:val="-5"/>
          <w:sz w:val="24"/>
        </w:rPr>
        <w:t> </w:t>
      </w:r>
      <w:r>
        <w:rPr>
          <w:sz w:val="24"/>
        </w:rPr>
        <w:t>factors</w:t>
      </w:r>
      <w:r>
        <w:rPr>
          <w:spacing w:val="-5"/>
          <w:sz w:val="24"/>
        </w:rPr>
        <w:t> </w:t>
      </w:r>
      <w:r>
        <w:rPr>
          <w:sz w:val="24"/>
        </w:rPr>
        <w:t>such</w:t>
      </w:r>
      <w:r>
        <w:rPr>
          <w:spacing w:val="-5"/>
          <w:sz w:val="24"/>
        </w:rPr>
        <w:t> </w:t>
      </w:r>
      <w:r>
        <w:rPr>
          <w:sz w:val="24"/>
        </w:rPr>
        <w:t>as</w:t>
      </w:r>
      <w:r>
        <w:rPr>
          <w:spacing w:val="-5"/>
          <w:sz w:val="24"/>
        </w:rPr>
        <w:t> </w:t>
      </w:r>
      <w:r>
        <w:rPr>
          <w:sz w:val="24"/>
        </w:rPr>
        <w:t>industry</w:t>
      </w:r>
      <w:r>
        <w:rPr>
          <w:spacing w:val="-5"/>
          <w:sz w:val="24"/>
        </w:rPr>
        <w:t> </w:t>
      </w:r>
      <w:r>
        <w:rPr>
          <w:sz w:val="24"/>
        </w:rPr>
        <w:t>classification,</w:t>
      </w:r>
      <w:r>
        <w:rPr>
          <w:spacing w:val="-5"/>
          <w:sz w:val="24"/>
        </w:rPr>
        <w:t> </w:t>
      </w:r>
      <w:r>
        <w:rPr>
          <w:sz w:val="24"/>
        </w:rPr>
        <w:t>scale</w:t>
      </w:r>
      <w:r>
        <w:rPr>
          <w:spacing w:val="-5"/>
          <w:sz w:val="24"/>
        </w:rPr>
        <w:t> </w:t>
      </w:r>
      <w:r>
        <w:rPr>
          <w:sz w:val="24"/>
        </w:rPr>
        <w:t>of operations, business diversification, and geographical presence.</w:t>
      </w:r>
    </w:p>
    <w:p>
      <w:pPr>
        <w:pStyle w:val="BodyText"/>
        <w:spacing w:before="43"/>
      </w:pPr>
    </w:p>
    <w:p>
      <w:pPr>
        <w:pStyle w:val="ListParagraph"/>
        <w:numPr>
          <w:ilvl w:val="0"/>
          <w:numId w:val="11"/>
        </w:numPr>
        <w:tabs>
          <w:tab w:pos="386" w:val="left" w:leader="none"/>
        </w:tabs>
        <w:spacing w:line="208" w:lineRule="auto" w:before="1" w:after="0"/>
        <w:ind w:left="120" w:right="1621" w:firstLine="0"/>
        <w:jc w:val="left"/>
        <w:rPr>
          <w:sz w:val="24"/>
        </w:rPr>
      </w:pPr>
      <w:r>
        <w:rPr>
          <w:rFonts w:ascii="Arial"/>
          <w:b/>
          <w:sz w:val="24"/>
        </w:rPr>
        <w:t>Industry</w:t>
      </w:r>
      <w:r>
        <w:rPr>
          <w:rFonts w:ascii="Arial"/>
          <w:b/>
          <w:spacing w:val="-5"/>
          <w:sz w:val="24"/>
        </w:rPr>
        <w:t> </w:t>
      </w:r>
      <w:r>
        <w:rPr>
          <w:rFonts w:ascii="Arial"/>
          <w:b/>
          <w:sz w:val="24"/>
        </w:rPr>
        <w:t>Data</w:t>
      </w:r>
      <w:r>
        <w:rPr>
          <w:rFonts w:ascii="Arial"/>
          <w:b/>
          <w:spacing w:val="-5"/>
          <w:sz w:val="24"/>
        </w:rPr>
        <w:t> </w:t>
      </w:r>
      <w:r>
        <w:rPr>
          <w:rFonts w:ascii="Arial"/>
          <w:b/>
          <w:sz w:val="24"/>
        </w:rPr>
        <w:t>Collection:</w:t>
      </w:r>
      <w:r>
        <w:rPr>
          <w:rFonts w:ascii="Arial"/>
          <w:b/>
          <w:spacing w:val="-5"/>
          <w:sz w:val="24"/>
        </w:rPr>
        <w:t> </w:t>
      </w:r>
      <w:r>
        <w:rPr>
          <w:sz w:val="24"/>
        </w:rPr>
        <w:t>Compilation</w:t>
      </w:r>
      <w:r>
        <w:rPr>
          <w:spacing w:val="-5"/>
          <w:sz w:val="24"/>
        </w:rPr>
        <w:t> </w:t>
      </w:r>
      <w:r>
        <w:rPr>
          <w:sz w:val="24"/>
        </w:rPr>
        <w:t>of</w:t>
      </w:r>
      <w:r>
        <w:rPr>
          <w:spacing w:val="-5"/>
          <w:sz w:val="24"/>
        </w:rPr>
        <w:t> </w:t>
      </w:r>
      <w:r>
        <w:rPr>
          <w:sz w:val="24"/>
        </w:rPr>
        <w:t>industry</w:t>
      </w:r>
      <w:r>
        <w:rPr>
          <w:spacing w:val="-5"/>
          <w:sz w:val="24"/>
        </w:rPr>
        <w:t> </w:t>
      </w:r>
      <w:r>
        <w:rPr>
          <w:sz w:val="24"/>
        </w:rPr>
        <w:t>averages</w:t>
      </w:r>
      <w:r>
        <w:rPr>
          <w:spacing w:val="-5"/>
          <w:sz w:val="24"/>
        </w:rPr>
        <w:t> </w:t>
      </w:r>
      <w:r>
        <w:rPr>
          <w:sz w:val="24"/>
        </w:rPr>
        <w:t>and</w:t>
      </w:r>
      <w:r>
        <w:rPr>
          <w:spacing w:val="-5"/>
          <w:sz w:val="24"/>
        </w:rPr>
        <w:t> </w:t>
      </w:r>
      <w:r>
        <w:rPr>
          <w:sz w:val="24"/>
        </w:rPr>
        <w:t>benchmarks</w:t>
      </w:r>
      <w:r>
        <w:rPr>
          <w:spacing w:val="-5"/>
          <w:sz w:val="24"/>
        </w:rPr>
        <w:t> </w:t>
      </w:r>
      <w:r>
        <w:rPr>
          <w:sz w:val="24"/>
        </w:rPr>
        <w:t>from financial databases and industry reports.</w:t>
      </w:r>
    </w:p>
    <w:p>
      <w:pPr>
        <w:pStyle w:val="BodyText"/>
        <w:spacing w:before="43"/>
      </w:pPr>
    </w:p>
    <w:p>
      <w:pPr>
        <w:pStyle w:val="ListParagraph"/>
        <w:numPr>
          <w:ilvl w:val="0"/>
          <w:numId w:val="11"/>
        </w:numPr>
        <w:tabs>
          <w:tab w:pos="386" w:val="left" w:leader="none"/>
        </w:tabs>
        <w:spacing w:line="208" w:lineRule="auto" w:before="0" w:after="0"/>
        <w:ind w:left="120" w:right="1648" w:firstLine="0"/>
        <w:jc w:val="left"/>
        <w:rPr>
          <w:sz w:val="24"/>
        </w:rPr>
      </w:pPr>
      <w:r>
        <w:rPr>
          <w:rFonts w:ascii="Arial"/>
          <w:b/>
          <w:sz w:val="24"/>
        </w:rPr>
        <w:t>Supplementary</w:t>
      </w:r>
      <w:r>
        <w:rPr>
          <w:rFonts w:ascii="Arial"/>
          <w:b/>
          <w:spacing w:val="-6"/>
          <w:sz w:val="24"/>
        </w:rPr>
        <w:t> </w:t>
      </w:r>
      <w:r>
        <w:rPr>
          <w:rFonts w:ascii="Arial"/>
          <w:b/>
          <w:sz w:val="24"/>
        </w:rPr>
        <w:t>Information</w:t>
      </w:r>
      <w:r>
        <w:rPr>
          <w:rFonts w:ascii="Arial"/>
          <w:b/>
          <w:spacing w:val="-6"/>
          <w:sz w:val="24"/>
        </w:rPr>
        <w:t> </w:t>
      </w:r>
      <w:r>
        <w:rPr>
          <w:rFonts w:ascii="Arial"/>
          <w:b/>
          <w:sz w:val="24"/>
        </w:rPr>
        <w:t>Collection:</w:t>
      </w:r>
      <w:r>
        <w:rPr>
          <w:rFonts w:ascii="Arial"/>
          <w:b/>
          <w:spacing w:val="-6"/>
          <w:sz w:val="24"/>
        </w:rPr>
        <w:t> </w:t>
      </w:r>
      <w:r>
        <w:rPr>
          <w:sz w:val="24"/>
        </w:rPr>
        <w:t>Gathering</w:t>
      </w:r>
      <w:r>
        <w:rPr>
          <w:spacing w:val="-6"/>
          <w:sz w:val="24"/>
        </w:rPr>
        <w:t> </w:t>
      </w:r>
      <w:r>
        <w:rPr>
          <w:sz w:val="24"/>
        </w:rPr>
        <w:t>of</w:t>
      </w:r>
      <w:r>
        <w:rPr>
          <w:spacing w:val="-6"/>
          <w:sz w:val="24"/>
        </w:rPr>
        <w:t> </w:t>
      </w:r>
      <w:r>
        <w:rPr>
          <w:sz w:val="24"/>
        </w:rPr>
        <w:t>qualitative</w:t>
      </w:r>
      <w:r>
        <w:rPr>
          <w:spacing w:val="-6"/>
          <w:sz w:val="24"/>
        </w:rPr>
        <w:t> </w:t>
      </w:r>
      <w:r>
        <w:rPr>
          <w:sz w:val="24"/>
        </w:rPr>
        <w:t>information</w:t>
      </w:r>
      <w:r>
        <w:rPr>
          <w:spacing w:val="-6"/>
          <w:sz w:val="24"/>
        </w:rPr>
        <w:t> </w:t>
      </w:r>
      <w:r>
        <w:rPr>
          <w:sz w:val="24"/>
        </w:rPr>
        <w:t>from management discussions, analyst reports, and industry publications to contextualize quantitative findings.</w:t>
      </w:r>
    </w:p>
    <w:p>
      <w:pPr>
        <w:pStyle w:val="ListParagraph"/>
        <w:spacing w:after="0" w:line="208" w:lineRule="auto"/>
        <w:jc w:val="left"/>
        <w:rPr>
          <w:sz w:val="24"/>
        </w:rPr>
        <w:sectPr>
          <w:pgSz w:w="12240" w:h="15840"/>
          <w:pgMar w:top="1500" w:bottom="280" w:left="1440" w:right="0"/>
        </w:sectPr>
      </w:pPr>
    </w:p>
    <w:p>
      <w:pPr>
        <w:pStyle w:val="Heading2"/>
        <w:numPr>
          <w:ilvl w:val="1"/>
          <w:numId w:val="3"/>
        </w:numPr>
        <w:tabs>
          <w:tab w:pos="653" w:val="left" w:leader="none"/>
        </w:tabs>
        <w:spacing w:line="240" w:lineRule="auto" w:before="60" w:after="0"/>
        <w:ind w:left="653" w:right="0" w:hanging="533"/>
        <w:jc w:val="left"/>
      </w:pPr>
      <w:r>
        <w:rPr/>
        <w:t>Analytical </w:t>
      </w:r>
      <w:r>
        <w:rPr>
          <w:spacing w:val="-2"/>
        </w:rPr>
        <w:t>Framework</w:t>
      </w:r>
    </w:p>
    <w:p>
      <w:pPr>
        <w:pStyle w:val="BodyText"/>
        <w:spacing w:before="8"/>
        <w:rPr>
          <w:rFonts w:ascii="Arial"/>
          <w:b/>
          <w:sz w:val="32"/>
        </w:rPr>
      </w:pPr>
    </w:p>
    <w:p>
      <w:pPr>
        <w:pStyle w:val="BodyText"/>
        <w:spacing w:line="208" w:lineRule="auto" w:before="0"/>
        <w:ind w:left="120" w:right="1942"/>
      </w:pPr>
      <w:r>
        <w:rPr/>
        <w:t>The</w:t>
      </w:r>
      <w:r>
        <w:rPr>
          <w:spacing w:val="-5"/>
        </w:rPr>
        <w:t> </w:t>
      </w:r>
      <w:r>
        <w:rPr/>
        <w:t>analytical</w:t>
      </w:r>
      <w:r>
        <w:rPr>
          <w:spacing w:val="-5"/>
        </w:rPr>
        <w:t> </w:t>
      </w:r>
      <w:r>
        <w:rPr/>
        <w:t>framework</w:t>
      </w:r>
      <w:r>
        <w:rPr>
          <w:spacing w:val="-5"/>
        </w:rPr>
        <w:t> </w:t>
      </w:r>
      <w:r>
        <w:rPr/>
        <w:t>for</w:t>
      </w:r>
      <w:r>
        <w:rPr>
          <w:spacing w:val="-5"/>
        </w:rPr>
        <w:t> </w:t>
      </w:r>
      <w:r>
        <w:rPr/>
        <w:t>this</w:t>
      </w:r>
      <w:r>
        <w:rPr>
          <w:spacing w:val="-5"/>
        </w:rPr>
        <w:t> </w:t>
      </w:r>
      <w:r>
        <w:rPr/>
        <w:t>study</w:t>
      </w:r>
      <w:r>
        <w:rPr>
          <w:spacing w:val="-5"/>
        </w:rPr>
        <w:t> </w:t>
      </w:r>
      <w:r>
        <w:rPr/>
        <w:t>comprises</w:t>
      </w:r>
      <w:r>
        <w:rPr>
          <w:spacing w:val="-5"/>
        </w:rPr>
        <w:t> </w:t>
      </w:r>
      <w:r>
        <w:rPr/>
        <w:t>several</w:t>
      </w:r>
      <w:r>
        <w:rPr>
          <w:spacing w:val="-5"/>
        </w:rPr>
        <w:t> </w:t>
      </w:r>
      <w:r>
        <w:rPr/>
        <w:t>interconnected </w:t>
      </w:r>
      <w:r>
        <w:rPr>
          <w:spacing w:val="-2"/>
        </w:rPr>
        <w:t>components:</w:t>
      </w:r>
    </w:p>
    <w:p>
      <w:pPr>
        <w:pStyle w:val="BodyText"/>
        <w:spacing w:before="57"/>
      </w:pPr>
    </w:p>
    <w:p>
      <w:pPr>
        <w:pStyle w:val="Heading3"/>
        <w:numPr>
          <w:ilvl w:val="2"/>
          <w:numId w:val="3"/>
        </w:numPr>
        <w:tabs>
          <w:tab w:pos="820" w:val="left" w:leader="none"/>
        </w:tabs>
        <w:spacing w:line="240" w:lineRule="auto" w:before="0" w:after="0"/>
        <w:ind w:left="820" w:right="0" w:hanging="700"/>
        <w:jc w:val="left"/>
      </w:pPr>
      <w:r>
        <w:rPr/>
        <w:t>Working Capital Analysis </w:t>
      </w:r>
      <w:r>
        <w:rPr>
          <w:spacing w:val="-2"/>
        </w:rPr>
        <w:t>Framework</w:t>
      </w:r>
    </w:p>
    <w:p>
      <w:pPr>
        <w:pStyle w:val="BodyText"/>
        <w:spacing w:before="275"/>
        <w:ind w:left="120"/>
      </w:pPr>
      <w:r>
        <w:rPr/>
        <w:t>The analysis of RIL's working capital follows a structured </w:t>
      </w:r>
      <w:r>
        <w:rPr>
          <w:spacing w:val="-2"/>
        </w:rPr>
        <w:t>framework:</w:t>
      </w:r>
    </w:p>
    <w:p>
      <w:pPr>
        <w:pStyle w:val="BodyText"/>
        <w:spacing w:before="38"/>
      </w:pPr>
    </w:p>
    <w:p>
      <w:pPr>
        <w:pStyle w:val="ListParagraph"/>
        <w:numPr>
          <w:ilvl w:val="0"/>
          <w:numId w:val="12"/>
        </w:numPr>
        <w:tabs>
          <w:tab w:pos="386" w:val="left" w:leader="none"/>
        </w:tabs>
        <w:spacing w:line="208" w:lineRule="auto" w:before="0" w:after="0"/>
        <w:ind w:left="120" w:right="1634" w:firstLine="0"/>
        <w:jc w:val="left"/>
        <w:rPr>
          <w:sz w:val="24"/>
        </w:rPr>
      </w:pPr>
      <w:r>
        <w:rPr>
          <w:rFonts w:ascii="Arial"/>
          <w:b/>
          <w:sz w:val="24"/>
        </w:rPr>
        <w:t>Composition</w:t>
      </w:r>
      <w:r>
        <w:rPr>
          <w:rFonts w:ascii="Arial"/>
          <w:b/>
          <w:spacing w:val="-4"/>
          <w:sz w:val="24"/>
        </w:rPr>
        <w:t> </w:t>
      </w:r>
      <w:r>
        <w:rPr>
          <w:rFonts w:ascii="Arial"/>
          <w:b/>
          <w:sz w:val="24"/>
        </w:rPr>
        <w:t>Analysis:</w:t>
      </w:r>
      <w:r>
        <w:rPr>
          <w:rFonts w:ascii="Arial"/>
          <w:b/>
          <w:spacing w:val="-4"/>
          <w:sz w:val="24"/>
        </w:rPr>
        <w:t> </w:t>
      </w:r>
      <w:r>
        <w:rPr>
          <w:sz w:val="24"/>
        </w:rPr>
        <w:t>Examination</w:t>
      </w:r>
      <w:r>
        <w:rPr>
          <w:spacing w:val="-4"/>
          <w:sz w:val="24"/>
        </w:rPr>
        <w:t> </w:t>
      </w:r>
      <w:r>
        <w:rPr>
          <w:sz w:val="24"/>
        </w:rPr>
        <w:t>of</w:t>
      </w:r>
      <w:r>
        <w:rPr>
          <w:spacing w:val="-4"/>
          <w:sz w:val="24"/>
        </w:rPr>
        <w:t> </w:t>
      </w:r>
      <w:r>
        <w:rPr>
          <w:sz w:val="24"/>
        </w:rPr>
        <w:t>the</w:t>
      </w:r>
      <w:r>
        <w:rPr>
          <w:spacing w:val="-4"/>
          <w:sz w:val="24"/>
        </w:rPr>
        <w:t> </w:t>
      </w:r>
      <w:r>
        <w:rPr>
          <w:sz w:val="24"/>
        </w:rPr>
        <w:t>structure</w:t>
      </w:r>
      <w:r>
        <w:rPr>
          <w:spacing w:val="-4"/>
          <w:sz w:val="24"/>
        </w:rPr>
        <w:t> </w:t>
      </w:r>
      <w:r>
        <w:rPr>
          <w:sz w:val="24"/>
        </w:rPr>
        <w:t>of</w:t>
      </w:r>
      <w:r>
        <w:rPr>
          <w:spacing w:val="-4"/>
          <w:sz w:val="24"/>
        </w:rPr>
        <w:t> </w:t>
      </w:r>
      <w:r>
        <w:rPr>
          <w:sz w:val="24"/>
        </w:rPr>
        <w:t>current</w:t>
      </w:r>
      <w:r>
        <w:rPr>
          <w:spacing w:val="-4"/>
          <w:sz w:val="24"/>
        </w:rPr>
        <w:t> </w:t>
      </w:r>
      <w:r>
        <w:rPr>
          <w:sz w:val="24"/>
        </w:rPr>
        <w:t>assets</w:t>
      </w:r>
      <w:r>
        <w:rPr>
          <w:spacing w:val="-4"/>
          <w:sz w:val="24"/>
        </w:rPr>
        <w:t> </w:t>
      </w:r>
      <w:r>
        <w:rPr>
          <w:sz w:val="24"/>
        </w:rPr>
        <w:t>and</w:t>
      </w:r>
      <w:r>
        <w:rPr>
          <w:spacing w:val="-4"/>
          <w:sz w:val="24"/>
        </w:rPr>
        <w:t> </w:t>
      </w:r>
      <w:r>
        <w:rPr>
          <w:sz w:val="24"/>
        </w:rPr>
        <w:t>current liabilities, including relative proportions and changes over time.</w:t>
      </w:r>
    </w:p>
    <w:p>
      <w:pPr>
        <w:pStyle w:val="BodyText"/>
        <w:spacing w:before="43"/>
      </w:pPr>
    </w:p>
    <w:p>
      <w:pPr>
        <w:pStyle w:val="ListParagraph"/>
        <w:numPr>
          <w:ilvl w:val="0"/>
          <w:numId w:val="12"/>
        </w:numPr>
        <w:tabs>
          <w:tab w:pos="386" w:val="left" w:leader="none"/>
        </w:tabs>
        <w:spacing w:line="208" w:lineRule="auto" w:before="1" w:after="0"/>
        <w:ind w:left="120" w:right="1700" w:firstLine="0"/>
        <w:jc w:val="left"/>
        <w:rPr>
          <w:sz w:val="24"/>
        </w:rPr>
      </w:pPr>
      <w:r>
        <w:rPr>
          <w:rFonts w:ascii="Arial"/>
          <w:b/>
          <w:sz w:val="24"/>
        </w:rPr>
        <w:t>Trend</w:t>
      </w:r>
      <w:r>
        <w:rPr>
          <w:rFonts w:ascii="Arial"/>
          <w:b/>
          <w:spacing w:val="-4"/>
          <w:sz w:val="24"/>
        </w:rPr>
        <w:t> </w:t>
      </w:r>
      <w:r>
        <w:rPr>
          <w:rFonts w:ascii="Arial"/>
          <w:b/>
          <w:sz w:val="24"/>
        </w:rPr>
        <w:t>Analysis:</w:t>
      </w:r>
      <w:r>
        <w:rPr>
          <w:rFonts w:ascii="Arial"/>
          <w:b/>
          <w:spacing w:val="-4"/>
          <w:sz w:val="24"/>
        </w:rPr>
        <w:t> </w:t>
      </w:r>
      <w:r>
        <w:rPr>
          <w:sz w:val="24"/>
        </w:rPr>
        <w:t>Analysis</w:t>
      </w:r>
      <w:r>
        <w:rPr>
          <w:spacing w:val="-4"/>
          <w:sz w:val="24"/>
        </w:rPr>
        <w:t> </w:t>
      </w:r>
      <w:r>
        <w:rPr>
          <w:sz w:val="24"/>
        </w:rPr>
        <w:t>of</w:t>
      </w:r>
      <w:r>
        <w:rPr>
          <w:spacing w:val="-4"/>
          <w:sz w:val="24"/>
        </w:rPr>
        <w:t> </w:t>
      </w:r>
      <w:r>
        <w:rPr>
          <w:sz w:val="24"/>
        </w:rPr>
        <w:t>temporal</w:t>
      </w:r>
      <w:r>
        <w:rPr>
          <w:spacing w:val="-4"/>
          <w:sz w:val="24"/>
        </w:rPr>
        <w:t> </w:t>
      </w:r>
      <w:r>
        <w:rPr>
          <w:sz w:val="24"/>
        </w:rPr>
        <w:t>patterns</w:t>
      </w:r>
      <w:r>
        <w:rPr>
          <w:spacing w:val="-4"/>
          <w:sz w:val="24"/>
        </w:rPr>
        <w:t> </w:t>
      </w:r>
      <w:r>
        <w:rPr>
          <w:sz w:val="24"/>
        </w:rPr>
        <w:t>in</w:t>
      </w:r>
      <w:r>
        <w:rPr>
          <w:spacing w:val="-4"/>
          <w:sz w:val="24"/>
        </w:rPr>
        <w:t> </w:t>
      </w:r>
      <w:r>
        <w:rPr>
          <w:sz w:val="24"/>
        </w:rPr>
        <w:t>working</w:t>
      </w:r>
      <w:r>
        <w:rPr>
          <w:spacing w:val="-4"/>
          <w:sz w:val="24"/>
        </w:rPr>
        <w:t> </w:t>
      </w:r>
      <w:r>
        <w:rPr>
          <w:sz w:val="24"/>
        </w:rPr>
        <w:t>capital</w:t>
      </w:r>
      <w:r>
        <w:rPr>
          <w:spacing w:val="-4"/>
          <w:sz w:val="24"/>
        </w:rPr>
        <w:t> </w:t>
      </w:r>
      <w:r>
        <w:rPr>
          <w:sz w:val="24"/>
        </w:rPr>
        <w:t>components</w:t>
      </w:r>
      <w:r>
        <w:rPr>
          <w:spacing w:val="-4"/>
          <w:sz w:val="24"/>
        </w:rPr>
        <w:t> </w:t>
      </w:r>
      <w:r>
        <w:rPr>
          <w:sz w:val="24"/>
        </w:rPr>
        <w:t>and metrics over the five-year study period.</w:t>
      </w:r>
    </w:p>
    <w:p>
      <w:pPr>
        <w:pStyle w:val="BodyText"/>
        <w:spacing w:before="43"/>
      </w:pPr>
    </w:p>
    <w:p>
      <w:pPr>
        <w:pStyle w:val="ListParagraph"/>
        <w:numPr>
          <w:ilvl w:val="0"/>
          <w:numId w:val="12"/>
        </w:numPr>
        <w:tabs>
          <w:tab w:pos="386" w:val="left" w:leader="none"/>
        </w:tabs>
        <w:spacing w:line="208" w:lineRule="auto" w:before="0" w:after="0"/>
        <w:ind w:left="120" w:right="2474" w:firstLine="0"/>
        <w:jc w:val="left"/>
        <w:rPr>
          <w:sz w:val="24"/>
        </w:rPr>
      </w:pPr>
      <w:r>
        <w:rPr>
          <w:rFonts w:ascii="Arial"/>
          <w:b/>
          <w:sz w:val="24"/>
        </w:rPr>
        <w:t>Ratio</w:t>
      </w:r>
      <w:r>
        <w:rPr>
          <w:rFonts w:ascii="Arial"/>
          <w:b/>
          <w:spacing w:val="-5"/>
          <w:sz w:val="24"/>
        </w:rPr>
        <w:t> </w:t>
      </w:r>
      <w:r>
        <w:rPr>
          <w:rFonts w:ascii="Arial"/>
          <w:b/>
          <w:sz w:val="24"/>
        </w:rPr>
        <w:t>Analysis:</w:t>
      </w:r>
      <w:r>
        <w:rPr>
          <w:rFonts w:ascii="Arial"/>
          <w:b/>
          <w:spacing w:val="-5"/>
          <w:sz w:val="24"/>
        </w:rPr>
        <w:t> </w:t>
      </w:r>
      <w:r>
        <w:rPr>
          <w:sz w:val="24"/>
        </w:rPr>
        <w:t>Calculation</w:t>
      </w:r>
      <w:r>
        <w:rPr>
          <w:spacing w:val="-5"/>
          <w:sz w:val="24"/>
        </w:rPr>
        <w:t> </w:t>
      </w:r>
      <w:r>
        <w:rPr>
          <w:sz w:val="24"/>
        </w:rPr>
        <w:t>and</w:t>
      </w:r>
      <w:r>
        <w:rPr>
          <w:spacing w:val="-5"/>
          <w:sz w:val="24"/>
        </w:rPr>
        <w:t> </w:t>
      </w:r>
      <w:r>
        <w:rPr>
          <w:sz w:val="24"/>
        </w:rPr>
        <w:t>interpretation</w:t>
      </w:r>
      <w:r>
        <w:rPr>
          <w:spacing w:val="-5"/>
          <w:sz w:val="24"/>
        </w:rPr>
        <w:t> </w:t>
      </w:r>
      <w:r>
        <w:rPr>
          <w:sz w:val="24"/>
        </w:rPr>
        <w:t>of</w:t>
      </w:r>
      <w:r>
        <w:rPr>
          <w:spacing w:val="-5"/>
          <w:sz w:val="24"/>
        </w:rPr>
        <w:t> </w:t>
      </w:r>
      <w:r>
        <w:rPr>
          <w:sz w:val="24"/>
        </w:rPr>
        <w:t>key</w:t>
      </w:r>
      <w:r>
        <w:rPr>
          <w:spacing w:val="-5"/>
          <w:sz w:val="24"/>
        </w:rPr>
        <w:t> </w:t>
      </w:r>
      <w:r>
        <w:rPr>
          <w:sz w:val="24"/>
        </w:rPr>
        <w:t>working</w:t>
      </w:r>
      <w:r>
        <w:rPr>
          <w:spacing w:val="-5"/>
          <w:sz w:val="24"/>
        </w:rPr>
        <w:t> </w:t>
      </w:r>
      <w:r>
        <w:rPr>
          <w:sz w:val="24"/>
        </w:rPr>
        <w:t>capital</w:t>
      </w:r>
      <w:r>
        <w:rPr>
          <w:spacing w:val="-5"/>
          <w:sz w:val="24"/>
        </w:rPr>
        <w:t> </w:t>
      </w:r>
      <w:r>
        <w:rPr>
          <w:sz w:val="24"/>
        </w:rPr>
        <w:t>ratios </w:t>
      </w:r>
      <w:r>
        <w:rPr>
          <w:spacing w:val="-2"/>
          <w:sz w:val="24"/>
        </w:rPr>
        <w:t>including:</w:t>
      </w:r>
    </w:p>
    <w:p>
      <w:pPr>
        <w:pStyle w:val="ListParagraph"/>
        <w:numPr>
          <w:ilvl w:val="1"/>
          <w:numId w:val="12"/>
        </w:numPr>
        <w:tabs>
          <w:tab w:pos="266" w:val="left" w:leader="none"/>
        </w:tabs>
        <w:spacing w:line="240" w:lineRule="auto" w:before="91" w:after="0"/>
        <w:ind w:left="266" w:right="0" w:hanging="146"/>
        <w:jc w:val="left"/>
        <w:rPr>
          <w:sz w:val="24"/>
        </w:rPr>
      </w:pPr>
      <w:r>
        <w:rPr>
          <w:sz w:val="24"/>
        </w:rPr>
        <w:t>Liquidity Ratios: Current Ratio, Quick Ratio, Cash </w:t>
      </w:r>
      <w:r>
        <w:rPr>
          <w:spacing w:val="-2"/>
          <w:sz w:val="24"/>
        </w:rPr>
        <w:t>Ratio</w:t>
      </w:r>
    </w:p>
    <w:p>
      <w:pPr>
        <w:pStyle w:val="ListParagraph"/>
        <w:numPr>
          <w:ilvl w:val="1"/>
          <w:numId w:val="12"/>
        </w:numPr>
        <w:tabs>
          <w:tab w:pos="266" w:val="left" w:leader="none"/>
        </w:tabs>
        <w:spacing w:line="240" w:lineRule="auto" w:before="84" w:after="0"/>
        <w:ind w:left="266" w:right="0" w:hanging="146"/>
        <w:jc w:val="left"/>
        <w:rPr>
          <w:sz w:val="24"/>
        </w:rPr>
      </w:pPr>
      <w:r>
        <w:rPr>
          <w:sz w:val="24"/>
        </w:rPr>
        <w:t>Efficiency Ratios: Inventory Turnover, Receivables Turnover, Payables </w:t>
      </w:r>
      <w:r>
        <w:rPr>
          <w:spacing w:val="-2"/>
          <w:sz w:val="24"/>
        </w:rPr>
        <w:t>Turnover</w:t>
      </w:r>
    </w:p>
    <w:p>
      <w:pPr>
        <w:pStyle w:val="ListParagraph"/>
        <w:numPr>
          <w:ilvl w:val="1"/>
          <w:numId w:val="12"/>
        </w:numPr>
        <w:tabs>
          <w:tab w:pos="266" w:val="left" w:leader="none"/>
        </w:tabs>
        <w:spacing w:line="240" w:lineRule="auto" w:before="84" w:after="0"/>
        <w:ind w:left="266" w:right="0" w:hanging="146"/>
        <w:jc w:val="left"/>
        <w:rPr>
          <w:sz w:val="24"/>
        </w:rPr>
      </w:pPr>
      <w:r>
        <w:rPr>
          <w:sz w:val="24"/>
        </w:rPr>
        <w:t>Cash Conversion Cycle and its components (DIO, DSO, </w:t>
      </w:r>
      <w:r>
        <w:rPr>
          <w:spacing w:val="-4"/>
          <w:sz w:val="24"/>
        </w:rPr>
        <w:t>DPO)</w:t>
      </w:r>
    </w:p>
    <w:p>
      <w:pPr>
        <w:pStyle w:val="ListParagraph"/>
        <w:numPr>
          <w:ilvl w:val="1"/>
          <w:numId w:val="12"/>
        </w:numPr>
        <w:tabs>
          <w:tab w:pos="266" w:val="left" w:leader="none"/>
        </w:tabs>
        <w:spacing w:line="240" w:lineRule="auto" w:before="84" w:after="0"/>
        <w:ind w:left="266" w:right="0" w:hanging="146"/>
        <w:jc w:val="left"/>
        <w:rPr>
          <w:sz w:val="24"/>
        </w:rPr>
      </w:pPr>
      <w:r>
        <w:rPr>
          <w:sz w:val="24"/>
        </w:rPr>
        <w:t>Working Capital to Revenue </w:t>
      </w:r>
      <w:r>
        <w:rPr>
          <w:spacing w:val="-2"/>
          <w:sz w:val="24"/>
        </w:rPr>
        <w:t>Ratio</w:t>
      </w:r>
    </w:p>
    <w:p>
      <w:pPr>
        <w:pStyle w:val="ListParagraph"/>
        <w:numPr>
          <w:ilvl w:val="1"/>
          <w:numId w:val="12"/>
        </w:numPr>
        <w:tabs>
          <w:tab w:pos="266" w:val="left" w:leader="none"/>
        </w:tabs>
        <w:spacing w:line="240" w:lineRule="auto" w:before="84" w:after="0"/>
        <w:ind w:left="266" w:right="0" w:hanging="146"/>
        <w:jc w:val="left"/>
        <w:rPr>
          <w:sz w:val="24"/>
        </w:rPr>
      </w:pPr>
      <w:r>
        <w:rPr>
          <w:sz w:val="24"/>
        </w:rPr>
        <w:t>Return on Working </w:t>
      </w:r>
      <w:r>
        <w:rPr>
          <w:spacing w:val="-2"/>
          <w:sz w:val="24"/>
        </w:rPr>
        <w:t>Capital</w:t>
      </w:r>
    </w:p>
    <w:p>
      <w:pPr>
        <w:pStyle w:val="BodyText"/>
        <w:spacing w:before="37"/>
      </w:pPr>
    </w:p>
    <w:p>
      <w:pPr>
        <w:pStyle w:val="ListParagraph"/>
        <w:numPr>
          <w:ilvl w:val="0"/>
          <w:numId w:val="12"/>
        </w:numPr>
        <w:tabs>
          <w:tab w:pos="386" w:val="left" w:leader="none"/>
        </w:tabs>
        <w:spacing w:line="208" w:lineRule="auto" w:before="0" w:after="0"/>
        <w:ind w:left="120" w:right="1620" w:firstLine="0"/>
        <w:jc w:val="left"/>
        <w:rPr>
          <w:sz w:val="24"/>
        </w:rPr>
      </w:pPr>
      <w:r>
        <w:rPr>
          <w:rFonts w:ascii="Arial"/>
          <w:b/>
          <w:sz w:val="24"/>
        </w:rPr>
        <w:t>Segment</w:t>
      </w:r>
      <w:r>
        <w:rPr>
          <w:rFonts w:ascii="Arial"/>
          <w:b/>
          <w:spacing w:val="-6"/>
          <w:sz w:val="24"/>
        </w:rPr>
        <w:t> </w:t>
      </w:r>
      <w:r>
        <w:rPr>
          <w:rFonts w:ascii="Arial"/>
          <w:b/>
          <w:sz w:val="24"/>
        </w:rPr>
        <w:t>Analysis:</w:t>
      </w:r>
      <w:r>
        <w:rPr>
          <w:rFonts w:ascii="Arial"/>
          <w:b/>
          <w:spacing w:val="-6"/>
          <w:sz w:val="24"/>
        </w:rPr>
        <w:t> </w:t>
      </w:r>
      <w:r>
        <w:rPr>
          <w:sz w:val="24"/>
        </w:rPr>
        <w:t>Examination</w:t>
      </w:r>
      <w:r>
        <w:rPr>
          <w:spacing w:val="-6"/>
          <w:sz w:val="24"/>
        </w:rPr>
        <w:t> </w:t>
      </w:r>
      <w:r>
        <w:rPr>
          <w:sz w:val="24"/>
        </w:rPr>
        <w:t>of</w:t>
      </w:r>
      <w:r>
        <w:rPr>
          <w:spacing w:val="-6"/>
          <w:sz w:val="24"/>
        </w:rPr>
        <w:t> </w:t>
      </w:r>
      <w:r>
        <w:rPr>
          <w:sz w:val="24"/>
        </w:rPr>
        <w:t>segment-specific</w:t>
      </w:r>
      <w:r>
        <w:rPr>
          <w:spacing w:val="-6"/>
          <w:sz w:val="24"/>
        </w:rPr>
        <w:t> </w:t>
      </w:r>
      <w:r>
        <w:rPr>
          <w:sz w:val="24"/>
        </w:rPr>
        <w:t>working</w:t>
      </w:r>
      <w:r>
        <w:rPr>
          <w:spacing w:val="-6"/>
          <w:sz w:val="24"/>
        </w:rPr>
        <w:t> </w:t>
      </w:r>
      <w:r>
        <w:rPr>
          <w:sz w:val="24"/>
        </w:rPr>
        <w:t>capital</w:t>
      </w:r>
      <w:r>
        <w:rPr>
          <w:spacing w:val="-6"/>
          <w:sz w:val="24"/>
        </w:rPr>
        <w:t> </w:t>
      </w:r>
      <w:r>
        <w:rPr>
          <w:sz w:val="24"/>
        </w:rPr>
        <w:t>requirements and management approaches.</w:t>
      </w:r>
    </w:p>
    <w:p>
      <w:pPr>
        <w:pStyle w:val="BodyText"/>
        <w:spacing w:before="15"/>
      </w:pPr>
    </w:p>
    <w:p>
      <w:pPr>
        <w:pStyle w:val="ListParagraph"/>
        <w:numPr>
          <w:ilvl w:val="0"/>
          <w:numId w:val="12"/>
        </w:numPr>
        <w:tabs>
          <w:tab w:pos="386" w:val="left" w:leader="none"/>
        </w:tabs>
        <w:spacing w:line="240" w:lineRule="auto" w:before="0" w:after="0"/>
        <w:ind w:left="386" w:right="0" w:hanging="266"/>
        <w:jc w:val="left"/>
        <w:rPr>
          <w:sz w:val="24"/>
        </w:rPr>
      </w:pPr>
      <w:r>
        <w:rPr>
          <w:rFonts w:ascii="Arial"/>
          <w:b/>
          <w:sz w:val="24"/>
        </w:rPr>
        <w:t>Comparative Analysis: </w:t>
      </w:r>
      <w:r>
        <w:rPr>
          <w:sz w:val="24"/>
        </w:rPr>
        <w:t>Benchmarking of RIL's working capital metrics </w:t>
      </w:r>
      <w:r>
        <w:rPr>
          <w:spacing w:val="-2"/>
          <w:sz w:val="24"/>
        </w:rPr>
        <w:t>against:</w:t>
      </w:r>
    </w:p>
    <w:p>
      <w:pPr>
        <w:pStyle w:val="ListParagraph"/>
        <w:numPr>
          <w:ilvl w:val="1"/>
          <w:numId w:val="12"/>
        </w:numPr>
        <w:tabs>
          <w:tab w:pos="266" w:val="left" w:leader="none"/>
        </w:tabs>
        <w:spacing w:line="240" w:lineRule="auto" w:before="84" w:after="0"/>
        <w:ind w:left="266" w:right="0" w:hanging="146"/>
        <w:jc w:val="left"/>
        <w:rPr>
          <w:sz w:val="24"/>
        </w:rPr>
      </w:pPr>
      <w:r>
        <w:rPr>
          <w:sz w:val="24"/>
        </w:rPr>
        <w:t>Historical performance (time-series </w:t>
      </w:r>
      <w:r>
        <w:rPr>
          <w:spacing w:val="-2"/>
          <w:sz w:val="24"/>
        </w:rPr>
        <w:t>comparison)</w:t>
      </w:r>
    </w:p>
    <w:p>
      <w:pPr>
        <w:pStyle w:val="ListParagraph"/>
        <w:numPr>
          <w:ilvl w:val="1"/>
          <w:numId w:val="12"/>
        </w:numPr>
        <w:tabs>
          <w:tab w:pos="266" w:val="left" w:leader="none"/>
        </w:tabs>
        <w:spacing w:line="240" w:lineRule="auto" w:before="84" w:after="0"/>
        <w:ind w:left="266" w:right="0" w:hanging="146"/>
        <w:jc w:val="left"/>
        <w:rPr>
          <w:sz w:val="24"/>
        </w:rPr>
      </w:pPr>
      <w:r>
        <w:rPr>
          <w:sz w:val="24"/>
        </w:rPr>
        <w:t>Industry peers (cross-sectional </w:t>
      </w:r>
      <w:r>
        <w:rPr>
          <w:spacing w:val="-2"/>
          <w:sz w:val="24"/>
        </w:rPr>
        <w:t>comparison)</w:t>
      </w:r>
    </w:p>
    <w:p>
      <w:pPr>
        <w:pStyle w:val="ListParagraph"/>
        <w:numPr>
          <w:ilvl w:val="1"/>
          <w:numId w:val="12"/>
        </w:numPr>
        <w:tabs>
          <w:tab w:pos="266" w:val="left" w:leader="none"/>
        </w:tabs>
        <w:spacing w:line="240" w:lineRule="auto" w:before="84" w:after="0"/>
        <w:ind w:left="266" w:right="0" w:hanging="146"/>
        <w:jc w:val="left"/>
        <w:rPr>
          <w:sz w:val="24"/>
        </w:rPr>
      </w:pPr>
      <w:r>
        <w:rPr>
          <w:sz w:val="24"/>
        </w:rPr>
        <w:t>Industry averages (normative </w:t>
      </w:r>
      <w:r>
        <w:rPr>
          <w:spacing w:val="-2"/>
          <w:sz w:val="24"/>
        </w:rPr>
        <w:t>comparison)</w:t>
      </w:r>
    </w:p>
    <w:p>
      <w:pPr>
        <w:pStyle w:val="ListParagraph"/>
        <w:numPr>
          <w:ilvl w:val="1"/>
          <w:numId w:val="12"/>
        </w:numPr>
        <w:tabs>
          <w:tab w:pos="266" w:val="left" w:leader="none"/>
        </w:tabs>
        <w:spacing w:line="240" w:lineRule="auto" w:before="84" w:after="0"/>
        <w:ind w:left="266" w:right="0" w:hanging="146"/>
        <w:jc w:val="left"/>
        <w:rPr>
          <w:sz w:val="24"/>
        </w:rPr>
      </w:pPr>
      <w:r>
        <w:rPr>
          <w:sz w:val="24"/>
        </w:rPr>
        <w:t>Theoretical optimal levels (prescriptive </w:t>
      </w:r>
      <w:r>
        <w:rPr>
          <w:spacing w:val="-2"/>
          <w:sz w:val="24"/>
        </w:rPr>
        <w:t>comparison)</w:t>
      </w:r>
    </w:p>
    <w:p>
      <w:pPr>
        <w:pStyle w:val="BodyText"/>
        <w:spacing w:before="50"/>
      </w:pPr>
    </w:p>
    <w:p>
      <w:pPr>
        <w:pStyle w:val="Heading3"/>
        <w:numPr>
          <w:ilvl w:val="2"/>
          <w:numId w:val="3"/>
        </w:numPr>
        <w:tabs>
          <w:tab w:pos="820" w:val="left" w:leader="none"/>
        </w:tabs>
        <w:spacing w:line="240" w:lineRule="auto" w:before="1" w:after="0"/>
        <w:ind w:left="820" w:right="0" w:hanging="700"/>
        <w:jc w:val="left"/>
      </w:pPr>
      <w:r>
        <w:rPr/>
        <w:t>Analytical </w:t>
      </w:r>
      <w:r>
        <w:rPr>
          <w:spacing w:val="-2"/>
        </w:rPr>
        <w:t>Models</w:t>
      </w:r>
    </w:p>
    <w:p>
      <w:pPr>
        <w:pStyle w:val="BodyText"/>
        <w:spacing w:before="275"/>
        <w:ind w:left="120"/>
      </w:pPr>
      <w:r>
        <w:rPr/>
        <w:t>The study employs several analytical </w:t>
      </w:r>
      <w:r>
        <w:rPr>
          <w:spacing w:val="-2"/>
        </w:rPr>
        <w:t>models:</w:t>
      </w:r>
    </w:p>
    <w:p>
      <w:pPr>
        <w:pStyle w:val="BodyText"/>
        <w:spacing w:before="8"/>
      </w:pPr>
    </w:p>
    <w:p>
      <w:pPr>
        <w:pStyle w:val="Heading4"/>
      </w:pPr>
      <w:r>
        <w:rPr/>
        <w:t>Working Capital Requirement (WCR) </w:t>
      </w:r>
      <w:r>
        <w:rPr>
          <w:spacing w:val="-2"/>
        </w:rPr>
        <w:t>Model:</w:t>
      </w:r>
    </w:p>
    <w:p>
      <w:pPr>
        <w:pStyle w:val="BodyText"/>
        <w:ind w:left="120"/>
      </w:pPr>
      <w:r>
        <w:rPr/>
        <w:t>WCR = Inventory + Accounts Receivable - Accounts </w:t>
      </w:r>
      <w:r>
        <w:rPr>
          <w:spacing w:val="-2"/>
        </w:rPr>
        <w:t>Payable</w:t>
      </w:r>
    </w:p>
    <w:p>
      <w:pPr>
        <w:pStyle w:val="BodyText"/>
        <w:spacing w:before="8"/>
      </w:pPr>
    </w:p>
    <w:p>
      <w:pPr>
        <w:pStyle w:val="Heading4"/>
      </w:pPr>
      <w:r>
        <w:rPr/>
        <w:t>Operating Working Capital </w:t>
      </w:r>
      <w:r>
        <w:rPr>
          <w:spacing w:val="-2"/>
        </w:rPr>
        <w:t>Model:</w:t>
      </w:r>
    </w:p>
    <w:p>
      <w:pPr>
        <w:pStyle w:val="BodyText"/>
        <w:ind w:left="120"/>
      </w:pPr>
      <w:r>
        <w:rPr/>
        <w:t>Operating Working Capital = Current Operating Assets - Current Operating </w:t>
      </w:r>
      <w:r>
        <w:rPr>
          <w:spacing w:val="-2"/>
        </w:rPr>
        <w:t>Liabilities</w:t>
      </w:r>
    </w:p>
    <w:p>
      <w:pPr>
        <w:pStyle w:val="BodyText"/>
        <w:spacing w:after="0"/>
        <w:sectPr>
          <w:pgSz w:w="12240" w:h="15840"/>
          <w:pgMar w:top="1520" w:bottom="280" w:left="1440" w:right="0"/>
        </w:sectPr>
      </w:pPr>
    </w:p>
    <w:p>
      <w:pPr>
        <w:pStyle w:val="Heading4"/>
        <w:spacing w:before="75"/>
      </w:pPr>
      <w:r>
        <w:rPr/>
        <w:t>Cash Conversion Efficiency (CCE) </w:t>
      </w:r>
      <w:r>
        <w:rPr>
          <w:spacing w:val="-2"/>
        </w:rPr>
        <w:t>Model:</w:t>
      </w:r>
    </w:p>
    <w:p>
      <w:pPr>
        <w:pStyle w:val="BodyText"/>
        <w:ind w:left="120"/>
      </w:pPr>
      <w:r>
        <w:rPr/>
        <w:t>CCE = Operating Cash Flow / </w:t>
      </w:r>
      <w:r>
        <w:rPr>
          <w:spacing w:val="-2"/>
        </w:rPr>
        <w:t>Revenue</w:t>
      </w:r>
    </w:p>
    <w:p>
      <w:pPr>
        <w:pStyle w:val="BodyText"/>
        <w:spacing w:before="7"/>
      </w:pPr>
    </w:p>
    <w:p>
      <w:pPr>
        <w:pStyle w:val="Heading4"/>
        <w:spacing w:before="1"/>
      </w:pPr>
      <w:r>
        <w:rPr/>
        <w:t>Weighted Working Capital Index </w:t>
      </w:r>
      <w:r>
        <w:rPr>
          <w:spacing w:val="-2"/>
        </w:rPr>
        <w:t>(WWCI):</w:t>
      </w:r>
    </w:p>
    <w:p>
      <w:pPr>
        <w:pStyle w:val="BodyText"/>
        <w:spacing w:line="208" w:lineRule="auto" w:before="113"/>
        <w:ind w:left="120" w:right="1633"/>
      </w:pPr>
      <w:r>
        <w:rPr/>
        <w:t>A</w:t>
      </w:r>
      <w:r>
        <w:rPr>
          <w:spacing w:val="-4"/>
        </w:rPr>
        <w:t> </w:t>
      </w:r>
      <w:r>
        <w:rPr/>
        <w:t>composite</w:t>
      </w:r>
      <w:r>
        <w:rPr>
          <w:spacing w:val="-4"/>
        </w:rPr>
        <w:t> </w:t>
      </w:r>
      <w:r>
        <w:rPr/>
        <w:t>index</w:t>
      </w:r>
      <w:r>
        <w:rPr>
          <w:spacing w:val="-4"/>
        </w:rPr>
        <w:t> </w:t>
      </w:r>
      <w:r>
        <w:rPr/>
        <w:t>developed</w:t>
      </w:r>
      <w:r>
        <w:rPr>
          <w:spacing w:val="-4"/>
        </w:rPr>
        <w:t> </w:t>
      </w:r>
      <w:r>
        <w:rPr/>
        <w:t>for</w:t>
      </w:r>
      <w:r>
        <w:rPr>
          <w:spacing w:val="-4"/>
        </w:rPr>
        <w:t> </w:t>
      </w:r>
      <w:r>
        <w:rPr/>
        <w:t>this</w:t>
      </w:r>
      <w:r>
        <w:rPr>
          <w:spacing w:val="-4"/>
        </w:rPr>
        <w:t> </w:t>
      </w:r>
      <w:r>
        <w:rPr/>
        <w:t>study</w:t>
      </w:r>
      <w:r>
        <w:rPr>
          <w:spacing w:val="-4"/>
        </w:rPr>
        <w:t> </w:t>
      </w:r>
      <w:r>
        <w:rPr/>
        <w:t>that</w:t>
      </w:r>
      <w:r>
        <w:rPr>
          <w:spacing w:val="-4"/>
        </w:rPr>
        <w:t> </w:t>
      </w:r>
      <w:r>
        <w:rPr/>
        <w:t>weights</w:t>
      </w:r>
      <w:r>
        <w:rPr>
          <w:spacing w:val="-4"/>
        </w:rPr>
        <w:t> </w:t>
      </w:r>
      <w:r>
        <w:rPr/>
        <w:t>working</w:t>
      </w:r>
      <w:r>
        <w:rPr>
          <w:spacing w:val="-4"/>
        </w:rPr>
        <w:t> </w:t>
      </w:r>
      <w:r>
        <w:rPr/>
        <w:t>capital</w:t>
      </w:r>
      <w:r>
        <w:rPr>
          <w:spacing w:val="-4"/>
        </w:rPr>
        <w:t> </w:t>
      </w:r>
      <w:r>
        <w:rPr/>
        <w:t>components based on their relative importance in RIL's business model:</w:t>
      </w:r>
    </w:p>
    <w:p>
      <w:pPr>
        <w:pStyle w:val="BodyText"/>
        <w:spacing w:before="52"/>
      </w:pPr>
    </w:p>
    <w:p>
      <w:pPr>
        <w:pStyle w:val="BodyText"/>
        <w:spacing w:line="187" w:lineRule="auto" w:before="0"/>
        <w:ind w:left="120" w:right="1633"/>
      </w:pPr>
      <w:r>
        <w:rPr/>
        <w:t>WWCI</w:t>
      </w:r>
      <w:r>
        <w:rPr>
          <w:spacing w:val="-4"/>
        </w:rPr>
        <w:t> </w:t>
      </w:r>
      <w:r>
        <w:rPr/>
        <w:t>=</w:t>
      </w:r>
      <w:r>
        <w:rPr>
          <w:spacing w:val="-4"/>
        </w:rPr>
        <w:t> </w:t>
      </w:r>
      <w:r>
        <w:rPr/>
        <w:t>w</w:t>
      </w:r>
      <w:r>
        <w:rPr>
          <w:rFonts w:ascii="MS Gothic" w:hAnsi="MS Gothic"/>
        </w:rPr>
        <w:t>■</w:t>
      </w:r>
      <w:r>
        <w:rPr/>
        <w:t>(Inventory</w:t>
      </w:r>
      <w:r>
        <w:rPr>
          <w:spacing w:val="-4"/>
        </w:rPr>
        <w:t> </w:t>
      </w:r>
      <w:r>
        <w:rPr/>
        <w:t>Ratio)</w:t>
      </w:r>
      <w:r>
        <w:rPr>
          <w:spacing w:val="-4"/>
        </w:rPr>
        <w:t> </w:t>
      </w:r>
      <w:r>
        <w:rPr/>
        <w:t>+</w:t>
      </w:r>
      <w:r>
        <w:rPr>
          <w:spacing w:val="-4"/>
        </w:rPr>
        <w:t> </w:t>
      </w:r>
      <w:r>
        <w:rPr/>
        <w:t>w</w:t>
      </w:r>
      <w:r>
        <w:rPr>
          <w:rFonts w:ascii="MS Gothic" w:hAnsi="MS Gothic"/>
        </w:rPr>
        <w:t>■</w:t>
      </w:r>
      <w:r>
        <w:rPr/>
        <w:t>(Receivables</w:t>
      </w:r>
      <w:r>
        <w:rPr>
          <w:spacing w:val="-4"/>
        </w:rPr>
        <w:t> </w:t>
      </w:r>
      <w:r>
        <w:rPr/>
        <w:t>Ratio)</w:t>
      </w:r>
      <w:r>
        <w:rPr>
          <w:spacing w:val="-4"/>
        </w:rPr>
        <w:t> </w:t>
      </w:r>
      <w:r>
        <w:rPr/>
        <w:t>+</w:t>
      </w:r>
      <w:r>
        <w:rPr>
          <w:spacing w:val="-4"/>
        </w:rPr>
        <w:t> </w:t>
      </w:r>
      <w:r>
        <w:rPr/>
        <w:t>w</w:t>
      </w:r>
      <w:r>
        <w:rPr>
          <w:rFonts w:ascii="MS Gothic" w:hAnsi="MS Gothic"/>
        </w:rPr>
        <w:t>■</w:t>
      </w:r>
      <w:r>
        <w:rPr/>
        <w:t>(Payables</w:t>
      </w:r>
      <w:r>
        <w:rPr>
          <w:spacing w:val="-4"/>
        </w:rPr>
        <w:t> </w:t>
      </w:r>
      <w:r>
        <w:rPr/>
        <w:t>Ratio)</w:t>
      </w:r>
      <w:r>
        <w:rPr>
          <w:spacing w:val="-4"/>
        </w:rPr>
        <w:t> </w:t>
      </w:r>
      <w:r>
        <w:rPr/>
        <w:t>- w</w:t>
      </w:r>
      <w:r>
        <w:rPr>
          <w:rFonts w:ascii="MS Gothic" w:hAnsi="MS Gothic"/>
        </w:rPr>
        <w:t>■</w:t>
      </w:r>
      <w:r>
        <w:rPr/>
        <w:t>(Cash Ratio)</w:t>
      </w:r>
    </w:p>
    <w:p>
      <w:pPr>
        <w:pStyle w:val="BodyText"/>
        <w:spacing w:before="35"/>
      </w:pPr>
    </w:p>
    <w:p>
      <w:pPr>
        <w:pStyle w:val="BodyText"/>
        <w:spacing w:line="196" w:lineRule="auto" w:before="0"/>
        <w:ind w:left="120" w:right="1633"/>
      </w:pPr>
      <w:r>
        <w:rPr/>
        <w:t>Where</w:t>
      </w:r>
      <w:r>
        <w:rPr>
          <w:spacing w:val="-4"/>
        </w:rPr>
        <w:t> </w:t>
      </w:r>
      <w:r>
        <w:rPr/>
        <w:t>w</w:t>
      </w:r>
      <w:r>
        <w:rPr>
          <w:rFonts w:ascii="MS Gothic" w:hAnsi="MS Gothic"/>
        </w:rPr>
        <w:t>■</w:t>
      </w:r>
      <w:r>
        <w:rPr/>
        <w:t>,</w:t>
      </w:r>
      <w:r>
        <w:rPr>
          <w:spacing w:val="-4"/>
        </w:rPr>
        <w:t> </w:t>
      </w:r>
      <w:r>
        <w:rPr/>
        <w:t>w</w:t>
      </w:r>
      <w:r>
        <w:rPr>
          <w:rFonts w:ascii="MS Gothic" w:hAnsi="MS Gothic"/>
        </w:rPr>
        <w:t>■</w:t>
      </w:r>
      <w:r>
        <w:rPr/>
        <w:t>,</w:t>
      </w:r>
      <w:r>
        <w:rPr>
          <w:spacing w:val="-4"/>
        </w:rPr>
        <w:t> </w:t>
      </w:r>
      <w:r>
        <w:rPr/>
        <w:t>w</w:t>
      </w:r>
      <w:r>
        <w:rPr>
          <w:rFonts w:ascii="MS Gothic" w:hAnsi="MS Gothic"/>
        </w:rPr>
        <w:t>■</w:t>
      </w:r>
      <w:r>
        <w:rPr/>
        <w:t>,</w:t>
      </w:r>
      <w:r>
        <w:rPr>
          <w:spacing w:val="-4"/>
        </w:rPr>
        <w:t> </w:t>
      </w:r>
      <w:r>
        <w:rPr/>
        <w:t>and</w:t>
      </w:r>
      <w:r>
        <w:rPr>
          <w:spacing w:val="-4"/>
        </w:rPr>
        <w:t> </w:t>
      </w:r>
      <w:r>
        <w:rPr/>
        <w:t>w</w:t>
      </w:r>
      <w:r>
        <w:rPr>
          <w:rFonts w:ascii="MS Gothic" w:hAnsi="MS Gothic"/>
        </w:rPr>
        <w:t>■</w:t>
      </w:r>
      <w:r>
        <w:rPr>
          <w:rFonts w:ascii="Times New Roman" w:hAnsi="Times New Roman"/>
        </w:rPr>
        <w:t> </w:t>
      </w:r>
      <w:r>
        <w:rPr/>
        <w:t>represent</w:t>
      </w:r>
      <w:r>
        <w:rPr>
          <w:spacing w:val="-4"/>
        </w:rPr>
        <w:t> </w:t>
      </w:r>
      <w:r>
        <w:rPr/>
        <w:t>weights</w:t>
      </w:r>
      <w:r>
        <w:rPr>
          <w:spacing w:val="-4"/>
        </w:rPr>
        <w:t> </w:t>
      </w:r>
      <w:r>
        <w:rPr/>
        <w:t>assigned</w:t>
      </w:r>
      <w:r>
        <w:rPr>
          <w:spacing w:val="-4"/>
        </w:rPr>
        <w:t> </w:t>
      </w:r>
      <w:r>
        <w:rPr/>
        <w:t>based</w:t>
      </w:r>
      <w:r>
        <w:rPr>
          <w:spacing w:val="-4"/>
        </w:rPr>
        <w:t> </w:t>
      </w:r>
      <w:r>
        <w:rPr/>
        <w:t>on</w:t>
      </w:r>
      <w:r>
        <w:rPr>
          <w:spacing w:val="-4"/>
        </w:rPr>
        <w:t> </w:t>
      </w:r>
      <w:r>
        <w:rPr/>
        <w:t>industry characteristics and historical significance.</w:t>
      </w:r>
    </w:p>
    <w:p>
      <w:pPr>
        <w:pStyle w:val="BodyText"/>
        <w:spacing w:before="102"/>
      </w:pPr>
    </w:p>
    <w:p>
      <w:pPr>
        <w:pStyle w:val="Heading2"/>
        <w:numPr>
          <w:ilvl w:val="1"/>
          <w:numId w:val="3"/>
        </w:numPr>
        <w:tabs>
          <w:tab w:pos="653" w:val="left" w:leader="none"/>
        </w:tabs>
        <w:spacing w:line="240" w:lineRule="auto" w:before="0" w:after="0"/>
        <w:ind w:left="653" w:right="0" w:hanging="533"/>
        <w:jc w:val="left"/>
      </w:pPr>
      <w:r>
        <w:rPr/>
        <w:t>Statistical Tools and </w:t>
      </w:r>
      <w:r>
        <w:rPr>
          <w:spacing w:val="-2"/>
        </w:rPr>
        <w:t>Techniques</w:t>
      </w:r>
    </w:p>
    <w:p>
      <w:pPr>
        <w:pStyle w:val="BodyText"/>
        <w:spacing w:before="347"/>
        <w:ind w:left="120"/>
      </w:pPr>
      <w:r>
        <w:rPr/>
        <w:t>The study employs various statistical tools and techniques to analyze the </w:t>
      </w:r>
      <w:r>
        <w:rPr>
          <w:spacing w:val="-2"/>
        </w:rPr>
        <w:t>data:</w:t>
      </w:r>
    </w:p>
    <w:p>
      <w:pPr>
        <w:pStyle w:val="BodyText"/>
        <w:spacing w:before="51"/>
      </w:pPr>
    </w:p>
    <w:p>
      <w:pPr>
        <w:pStyle w:val="Heading3"/>
        <w:numPr>
          <w:ilvl w:val="2"/>
          <w:numId w:val="3"/>
        </w:numPr>
        <w:tabs>
          <w:tab w:pos="820" w:val="left" w:leader="none"/>
        </w:tabs>
        <w:spacing w:line="240" w:lineRule="auto" w:before="0" w:after="0"/>
        <w:ind w:left="820" w:right="0" w:hanging="700"/>
        <w:jc w:val="left"/>
      </w:pPr>
      <w:r>
        <w:rPr/>
        <w:t>Descriptive </w:t>
      </w:r>
      <w:r>
        <w:rPr>
          <w:spacing w:val="-2"/>
        </w:rPr>
        <w:t>Statistics</w:t>
      </w:r>
    </w:p>
    <w:p>
      <w:pPr>
        <w:pStyle w:val="ListParagraph"/>
        <w:numPr>
          <w:ilvl w:val="3"/>
          <w:numId w:val="3"/>
        </w:numPr>
        <w:tabs>
          <w:tab w:pos="266" w:val="left" w:leader="none"/>
        </w:tabs>
        <w:spacing w:line="240" w:lineRule="auto" w:before="276" w:after="0"/>
        <w:ind w:left="266" w:right="0" w:hanging="146"/>
        <w:jc w:val="left"/>
        <w:rPr>
          <w:sz w:val="24"/>
        </w:rPr>
      </w:pPr>
      <w:r>
        <w:rPr>
          <w:sz w:val="24"/>
        </w:rPr>
        <w:t>Central tendency measures (mean, median, </w:t>
      </w:r>
      <w:r>
        <w:rPr>
          <w:spacing w:val="-2"/>
          <w:sz w:val="24"/>
        </w:rPr>
        <w:t>mode)</w:t>
      </w:r>
    </w:p>
    <w:p>
      <w:pPr>
        <w:pStyle w:val="ListParagraph"/>
        <w:numPr>
          <w:ilvl w:val="3"/>
          <w:numId w:val="3"/>
        </w:numPr>
        <w:tabs>
          <w:tab w:pos="266" w:val="left" w:leader="none"/>
        </w:tabs>
        <w:spacing w:line="240" w:lineRule="auto" w:before="84" w:after="0"/>
        <w:ind w:left="266" w:right="0" w:hanging="146"/>
        <w:jc w:val="left"/>
        <w:rPr>
          <w:sz w:val="24"/>
        </w:rPr>
      </w:pPr>
      <w:r>
        <w:rPr>
          <w:sz w:val="24"/>
        </w:rPr>
        <w:t>Dispersion measures (standard deviation, range, </w:t>
      </w:r>
      <w:r>
        <w:rPr>
          <w:spacing w:val="-2"/>
          <w:sz w:val="24"/>
        </w:rPr>
        <w:t>variance)</w:t>
      </w:r>
    </w:p>
    <w:p>
      <w:pPr>
        <w:pStyle w:val="ListParagraph"/>
        <w:numPr>
          <w:ilvl w:val="3"/>
          <w:numId w:val="3"/>
        </w:numPr>
        <w:tabs>
          <w:tab w:pos="266" w:val="left" w:leader="none"/>
        </w:tabs>
        <w:spacing w:line="240" w:lineRule="auto" w:before="84" w:after="0"/>
        <w:ind w:left="266" w:right="0" w:hanging="146"/>
        <w:jc w:val="left"/>
        <w:rPr>
          <w:sz w:val="24"/>
        </w:rPr>
      </w:pPr>
      <w:r>
        <w:rPr>
          <w:sz w:val="24"/>
        </w:rPr>
        <w:t>Distribution analysis (skewness, </w:t>
      </w:r>
      <w:r>
        <w:rPr>
          <w:spacing w:val="-2"/>
          <w:sz w:val="24"/>
        </w:rPr>
        <w:t>kurtosis)</w:t>
      </w:r>
    </w:p>
    <w:p>
      <w:pPr>
        <w:pStyle w:val="BodyText"/>
        <w:spacing w:before="50"/>
      </w:pPr>
    </w:p>
    <w:p>
      <w:pPr>
        <w:pStyle w:val="Heading3"/>
        <w:numPr>
          <w:ilvl w:val="2"/>
          <w:numId w:val="3"/>
        </w:numPr>
        <w:tabs>
          <w:tab w:pos="820" w:val="left" w:leader="none"/>
        </w:tabs>
        <w:spacing w:line="240" w:lineRule="auto" w:before="0" w:after="0"/>
        <w:ind w:left="820" w:right="0" w:hanging="700"/>
        <w:jc w:val="left"/>
      </w:pPr>
      <w:r>
        <w:rPr/>
        <w:t>Time Series </w:t>
      </w:r>
      <w:r>
        <w:rPr>
          <w:spacing w:val="-2"/>
        </w:rPr>
        <w:t>Analysis</w:t>
      </w:r>
    </w:p>
    <w:p>
      <w:pPr>
        <w:pStyle w:val="ListParagraph"/>
        <w:numPr>
          <w:ilvl w:val="3"/>
          <w:numId w:val="3"/>
        </w:numPr>
        <w:tabs>
          <w:tab w:pos="266" w:val="left" w:leader="none"/>
        </w:tabs>
        <w:spacing w:line="240" w:lineRule="auto" w:before="276" w:after="0"/>
        <w:ind w:left="266" w:right="0" w:hanging="146"/>
        <w:jc w:val="left"/>
        <w:rPr>
          <w:sz w:val="24"/>
        </w:rPr>
      </w:pPr>
      <w:r>
        <w:rPr>
          <w:sz w:val="24"/>
        </w:rPr>
        <w:t>Trend analysis using moving averages and growth </w:t>
      </w:r>
      <w:r>
        <w:rPr>
          <w:spacing w:val="-2"/>
          <w:sz w:val="24"/>
        </w:rPr>
        <w:t>rates</w:t>
      </w:r>
    </w:p>
    <w:p>
      <w:pPr>
        <w:pStyle w:val="ListParagraph"/>
        <w:numPr>
          <w:ilvl w:val="3"/>
          <w:numId w:val="3"/>
        </w:numPr>
        <w:tabs>
          <w:tab w:pos="266" w:val="left" w:leader="none"/>
        </w:tabs>
        <w:spacing w:line="240" w:lineRule="auto" w:before="84" w:after="0"/>
        <w:ind w:left="266" w:right="0" w:hanging="146"/>
        <w:jc w:val="left"/>
        <w:rPr>
          <w:sz w:val="24"/>
        </w:rPr>
      </w:pPr>
      <w:r>
        <w:rPr>
          <w:sz w:val="24"/>
        </w:rPr>
        <w:t>Seasonal decomposition to identify cyclical </w:t>
      </w:r>
      <w:r>
        <w:rPr>
          <w:spacing w:val="-2"/>
          <w:sz w:val="24"/>
        </w:rPr>
        <w:t>patterns</w:t>
      </w:r>
    </w:p>
    <w:p>
      <w:pPr>
        <w:pStyle w:val="ListParagraph"/>
        <w:numPr>
          <w:ilvl w:val="3"/>
          <w:numId w:val="3"/>
        </w:numPr>
        <w:tabs>
          <w:tab w:pos="266" w:val="left" w:leader="none"/>
        </w:tabs>
        <w:spacing w:line="240" w:lineRule="auto" w:before="84" w:after="0"/>
        <w:ind w:left="266" w:right="0" w:hanging="146"/>
        <w:jc w:val="left"/>
        <w:rPr>
          <w:sz w:val="24"/>
        </w:rPr>
      </w:pPr>
      <w:r>
        <w:rPr>
          <w:sz w:val="24"/>
        </w:rPr>
        <w:t>Autoregressive models to forecast future working capital </w:t>
      </w:r>
      <w:r>
        <w:rPr>
          <w:spacing w:val="-2"/>
          <w:sz w:val="24"/>
        </w:rPr>
        <w:t>requirements</w:t>
      </w:r>
    </w:p>
    <w:p>
      <w:pPr>
        <w:pStyle w:val="BodyText"/>
        <w:spacing w:before="50"/>
      </w:pPr>
    </w:p>
    <w:p>
      <w:pPr>
        <w:pStyle w:val="Heading3"/>
        <w:numPr>
          <w:ilvl w:val="2"/>
          <w:numId w:val="3"/>
        </w:numPr>
        <w:tabs>
          <w:tab w:pos="820" w:val="left" w:leader="none"/>
        </w:tabs>
        <w:spacing w:line="240" w:lineRule="auto" w:before="0" w:after="0"/>
        <w:ind w:left="820" w:right="0" w:hanging="700"/>
        <w:jc w:val="left"/>
      </w:pPr>
      <w:r>
        <w:rPr/>
        <w:t>Regression </w:t>
      </w:r>
      <w:r>
        <w:rPr>
          <w:spacing w:val="-2"/>
        </w:rPr>
        <w:t>Analysis</w:t>
      </w:r>
    </w:p>
    <w:p>
      <w:pPr>
        <w:pStyle w:val="ListParagraph"/>
        <w:numPr>
          <w:ilvl w:val="3"/>
          <w:numId w:val="3"/>
        </w:numPr>
        <w:tabs>
          <w:tab w:pos="266" w:val="left" w:leader="none"/>
        </w:tabs>
        <w:spacing w:line="208" w:lineRule="auto" w:before="305" w:after="0"/>
        <w:ind w:left="120" w:right="2113" w:firstLine="0"/>
        <w:jc w:val="left"/>
        <w:rPr>
          <w:sz w:val="24"/>
        </w:rPr>
      </w:pPr>
      <w:r>
        <w:rPr>
          <w:sz w:val="24"/>
        </w:rPr>
        <w:t>Simple</w:t>
      </w:r>
      <w:r>
        <w:rPr>
          <w:spacing w:val="-5"/>
          <w:sz w:val="24"/>
        </w:rPr>
        <w:t> </w:t>
      </w:r>
      <w:r>
        <w:rPr>
          <w:sz w:val="24"/>
        </w:rPr>
        <w:t>and</w:t>
      </w:r>
      <w:r>
        <w:rPr>
          <w:spacing w:val="-5"/>
          <w:sz w:val="24"/>
        </w:rPr>
        <w:t> </w:t>
      </w:r>
      <w:r>
        <w:rPr>
          <w:sz w:val="24"/>
        </w:rPr>
        <w:t>multiple</w:t>
      </w:r>
      <w:r>
        <w:rPr>
          <w:spacing w:val="-5"/>
          <w:sz w:val="24"/>
        </w:rPr>
        <w:t> </w:t>
      </w:r>
      <w:r>
        <w:rPr>
          <w:sz w:val="24"/>
        </w:rPr>
        <w:t>regression</w:t>
      </w:r>
      <w:r>
        <w:rPr>
          <w:spacing w:val="-5"/>
          <w:sz w:val="24"/>
        </w:rPr>
        <w:t> </w:t>
      </w:r>
      <w:r>
        <w:rPr>
          <w:sz w:val="24"/>
        </w:rPr>
        <w:t>to</w:t>
      </w:r>
      <w:r>
        <w:rPr>
          <w:spacing w:val="-5"/>
          <w:sz w:val="24"/>
        </w:rPr>
        <w:t> </w:t>
      </w:r>
      <w:r>
        <w:rPr>
          <w:sz w:val="24"/>
        </w:rPr>
        <w:t>identify</w:t>
      </w:r>
      <w:r>
        <w:rPr>
          <w:spacing w:val="-5"/>
          <w:sz w:val="24"/>
        </w:rPr>
        <w:t> </w:t>
      </w:r>
      <w:r>
        <w:rPr>
          <w:sz w:val="24"/>
        </w:rPr>
        <w:t>relationships</w:t>
      </w:r>
      <w:r>
        <w:rPr>
          <w:spacing w:val="-5"/>
          <w:sz w:val="24"/>
        </w:rPr>
        <w:t> </w:t>
      </w:r>
      <w:r>
        <w:rPr>
          <w:sz w:val="24"/>
        </w:rPr>
        <w:t>between</w:t>
      </w:r>
      <w:r>
        <w:rPr>
          <w:spacing w:val="-5"/>
          <w:sz w:val="24"/>
        </w:rPr>
        <w:t> </w:t>
      </w:r>
      <w:r>
        <w:rPr>
          <w:sz w:val="24"/>
        </w:rPr>
        <w:t>working</w:t>
      </w:r>
      <w:r>
        <w:rPr>
          <w:spacing w:val="-5"/>
          <w:sz w:val="24"/>
        </w:rPr>
        <w:t> </w:t>
      </w:r>
      <w:r>
        <w:rPr>
          <w:sz w:val="24"/>
        </w:rPr>
        <w:t>capital metrics and financial performance indicators</w:t>
      </w:r>
    </w:p>
    <w:p>
      <w:pPr>
        <w:pStyle w:val="ListParagraph"/>
        <w:numPr>
          <w:ilvl w:val="3"/>
          <w:numId w:val="3"/>
        </w:numPr>
        <w:tabs>
          <w:tab w:pos="266" w:val="left" w:leader="none"/>
        </w:tabs>
        <w:spacing w:line="240" w:lineRule="auto" w:before="91" w:after="0"/>
        <w:ind w:left="266" w:right="0" w:hanging="146"/>
        <w:jc w:val="left"/>
        <w:rPr>
          <w:sz w:val="24"/>
        </w:rPr>
      </w:pPr>
      <w:r>
        <w:rPr>
          <w:sz w:val="24"/>
        </w:rPr>
        <w:t>Panel data analysis for segment-specific </w:t>
      </w:r>
      <w:r>
        <w:rPr>
          <w:spacing w:val="-2"/>
          <w:sz w:val="24"/>
        </w:rPr>
        <w:t>effects</w:t>
      </w:r>
    </w:p>
    <w:p>
      <w:pPr>
        <w:pStyle w:val="ListParagraph"/>
        <w:numPr>
          <w:ilvl w:val="3"/>
          <w:numId w:val="3"/>
        </w:numPr>
        <w:tabs>
          <w:tab w:pos="266" w:val="left" w:leader="none"/>
        </w:tabs>
        <w:spacing w:line="240" w:lineRule="auto" w:before="84" w:after="0"/>
        <w:ind w:left="266" w:right="0" w:hanging="146"/>
        <w:jc w:val="left"/>
        <w:rPr>
          <w:sz w:val="24"/>
        </w:rPr>
      </w:pPr>
      <w:r>
        <w:rPr>
          <w:sz w:val="24"/>
        </w:rPr>
        <w:t>Dummy variable regression for industry and segment </w:t>
      </w:r>
      <w:r>
        <w:rPr>
          <w:spacing w:val="-2"/>
          <w:sz w:val="24"/>
        </w:rPr>
        <w:t>comparisons</w:t>
      </w:r>
    </w:p>
    <w:p>
      <w:pPr>
        <w:pStyle w:val="BodyText"/>
        <w:spacing w:before="50"/>
      </w:pPr>
    </w:p>
    <w:p>
      <w:pPr>
        <w:pStyle w:val="Heading3"/>
        <w:numPr>
          <w:ilvl w:val="2"/>
          <w:numId w:val="3"/>
        </w:numPr>
        <w:tabs>
          <w:tab w:pos="820" w:val="left" w:leader="none"/>
        </w:tabs>
        <w:spacing w:line="240" w:lineRule="auto" w:before="0" w:after="0"/>
        <w:ind w:left="820" w:right="0" w:hanging="700"/>
        <w:jc w:val="left"/>
      </w:pPr>
      <w:r>
        <w:rPr/>
        <w:t>Correlation </w:t>
      </w:r>
      <w:r>
        <w:rPr>
          <w:spacing w:val="-2"/>
        </w:rPr>
        <w:t>Analysis</w:t>
      </w:r>
    </w:p>
    <w:p>
      <w:pPr>
        <w:pStyle w:val="ListParagraph"/>
        <w:numPr>
          <w:ilvl w:val="3"/>
          <w:numId w:val="3"/>
        </w:numPr>
        <w:tabs>
          <w:tab w:pos="266" w:val="left" w:leader="none"/>
        </w:tabs>
        <w:spacing w:line="208" w:lineRule="auto" w:before="305" w:after="0"/>
        <w:ind w:left="120" w:right="2873" w:firstLine="0"/>
        <w:jc w:val="left"/>
        <w:rPr>
          <w:sz w:val="24"/>
        </w:rPr>
      </w:pPr>
      <w:r>
        <w:rPr>
          <w:sz w:val="24"/>
        </w:rPr>
        <w:t>Pearson</w:t>
      </w:r>
      <w:r>
        <w:rPr>
          <w:spacing w:val="-5"/>
          <w:sz w:val="24"/>
        </w:rPr>
        <w:t> </w:t>
      </w:r>
      <w:r>
        <w:rPr>
          <w:sz w:val="24"/>
        </w:rPr>
        <w:t>correlation</w:t>
      </w:r>
      <w:r>
        <w:rPr>
          <w:spacing w:val="-5"/>
          <w:sz w:val="24"/>
        </w:rPr>
        <w:t> </w:t>
      </w:r>
      <w:r>
        <w:rPr>
          <w:sz w:val="24"/>
        </w:rPr>
        <w:t>coefficients</w:t>
      </w:r>
      <w:r>
        <w:rPr>
          <w:spacing w:val="-5"/>
          <w:sz w:val="24"/>
        </w:rPr>
        <w:t> </w:t>
      </w:r>
      <w:r>
        <w:rPr>
          <w:sz w:val="24"/>
        </w:rPr>
        <w:t>to</w:t>
      </w:r>
      <w:r>
        <w:rPr>
          <w:spacing w:val="-5"/>
          <w:sz w:val="24"/>
        </w:rPr>
        <w:t> </w:t>
      </w:r>
      <w:r>
        <w:rPr>
          <w:sz w:val="24"/>
        </w:rPr>
        <w:t>measure</w:t>
      </w:r>
      <w:r>
        <w:rPr>
          <w:spacing w:val="-5"/>
          <w:sz w:val="24"/>
        </w:rPr>
        <w:t> </w:t>
      </w:r>
      <w:r>
        <w:rPr>
          <w:sz w:val="24"/>
        </w:rPr>
        <w:t>the</w:t>
      </w:r>
      <w:r>
        <w:rPr>
          <w:spacing w:val="-5"/>
          <w:sz w:val="24"/>
        </w:rPr>
        <w:t> </w:t>
      </w:r>
      <w:r>
        <w:rPr>
          <w:sz w:val="24"/>
        </w:rPr>
        <w:t>strength</w:t>
      </w:r>
      <w:r>
        <w:rPr>
          <w:spacing w:val="-5"/>
          <w:sz w:val="24"/>
        </w:rPr>
        <w:t> </w:t>
      </w:r>
      <w:r>
        <w:rPr>
          <w:sz w:val="24"/>
        </w:rPr>
        <w:t>and</w:t>
      </w:r>
      <w:r>
        <w:rPr>
          <w:spacing w:val="-5"/>
          <w:sz w:val="24"/>
        </w:rPr>
        <w:t> </w:t>
      </w:r>
      <w:r>
        <w:rPr>
          <w:sz w:val="24"/>
        </w:rPr>
        <w:t>direction</w:t>
      </w:r>
      <w:r>
        <w:rPr>
          <w:spacing w:val="-5"/>
          <w:sz w:val="24"/>
        </w:rPr>
        <w:t> </w:t>
      </w:r>
      <w:r>
        <w:rPr>
          <w:sz w:val="24"/>
        </w:rPr>
        <w:t>of </w:t>
      </w:r>
      <w:r>
        <w:rPr>
          <w:spacing w:val="-2"/>
          <w:sz w:val="24"/>
        </w:rPr>
        <w:t>relationships</w:t>
      </w:r>
    </w:p>
    <w:p>
      <w:pPr>
        <w:pStyle w:val="ListParagraph"/>
        <w:numPr>
          <w:ilvl w:val="3"/>
          <w:numId w:val="3"/>
        </w:numPr>
        <w:tabs>
          <w:tab w:pos="266" w:val="left" w:leader="none"/>
        </w:tabs>
        <w:spacing w:line="240" w:lineRule="auto" w:before="90" w:after="0"/>
        <w:ind w:left="266" w:right="0" w:hanging="146"/>
        <w:jc w:val="left"/>
        <w:rPr>
          <w:sz w:val="24"/>
        </w:rPr>
      </w:pPr>
      <w:r>
        <w:rPr>
          <w:sz w:val="24"/>
        </w:rPr>
        <w:t>Partial correlation analysis controlling for confounding </w:t>
      </w:r>
      <w:r>
        <w:rPr>
          <w:spacing w:val="-2"/>
          <w:sz w:val="24"/>
        </w:rPr>
        <w:t>variables</w:t>
      </w:r>
    </w:p>
    <w:p>
      <w:pPr>
        <w:pStyle w:val="ListParagraph"/>
        <w:spacing w:after="0" w:line="240" w:lineRule="auto"/>
        <w:jc w:val="left"/>
        <w:rPr>
          <w:sz w:val="24"/>
        </w:rPr>
        <w:sectPr>
          <w:pgSz w:w="12240" w:h="15840"/>
          <w:pgMar w:top="1500" w:bottom="280" w:left="1440" w:right="0"/>
        </w:sectPr>
      </w:pPr>
    </w:p>
    <w:p>
      <w:pPr>
        <w:pStyle w:val="ListParagraph"/>
        <w:numPr>
          <w:ilvl w:val="3"/>
          <w:numId w:val="3"/>
        </w:numPr>
        <w:tabs>
          <w:tab w:pos="266" w:val="left" w:leader="none"/>
        </w:tabs>
        <w:spacing w:line="240" w:lineRule="auto" w:before="75" w:after="0"/>
        <w:ind w:left="266" w:right="0" w:hanging="146"/>
        <w:jc w:val="left"/>
        <w:rPr>
          <w:sz w:val="24"/>
        </w:rPr>
      </w:pPr>
      <w:r>
        <w:rPr>
          <w:sz w:val="24"/>
        </w:rPr>
        <w:t>Canonical correlation for multivariate </w:t>
      </w:r>
      <w:r>
        <w:rPr>
          <w:spacing w:val="-2"/>
          <w:sz w:val="24"/>
        </w:rPr>
        <w:t>relationships</w:t>
      </w:r>
    </w:p>
    <w:p>
      <w:pPr>
        <w:pStyle w:val="BodyText"/>
        <w:spacing w:before="50"/>
      </w:pPr>
    </w:p>
    <w:p>
      <w:pPr>
        <w:pStyle w:val="Heading3"/>
        <w:numPr>
          <w:ilvl w:val="2"/>
          <w:numId w:val="3"/>
        </w:numPr>
        <w:tabs>
          <w:tab w:pos="820" w:val="left" w:leader="none"/>
        </w:tabs>
        <w:spacing w:line="240" w:lineRule="auto" w:before="0" w:after="0"/>
        <w:ind w:left="820" w:right="0" w:hanging="700"/>
        <w:jc w:val="left"/>
      </w:pPr>
      <w:r>
        <w:rPr/>
        <w:t>Statistical </w:t>
      </w:r>
      <w:r>
        <w:rPr>
          <w:spacing w:val="-2"/>
        </w:rPr>
        <w:t>Software</w:t>
      </w:r>
    </w:p>
    <w:p>
      <w:pPr>
        <w:pStyle w:val="BodyText"/>
        <w:spacing w:before="276"/>
        <w:ind w:left="120"/>
      </w:pPr>
      <w:r>
        <w:rPr/>
        <w:t>The statistical analysis was conducted </w:t>
      </w:r>
      <w:r>
        <w:rPr>
          <w:spacing w:val="-2"/>
        </w:rPr>
        <w:t>using:</w:t>
      </w:r>
    </w:p>
    <w:p>
      <w:pPr>
        <w:pStyle w:val="ListParagraph"/>
        <w:numPr>
          <w:ilvl w:val="3"/>
          <w:numId w:val="3"/>
        </w:numPr>
        <w:tabs>
          <w:tab w:pos="266" w:val="left" w:leader="none"/>
        </w:tabs>
        <w:spacing w:line="240" w:lineRule="auto" w:before="84" w:after="0"/>
        <w:ind w:left="266" w:right="0" w:hanging="146"/>
        <w:jc w:val="left"/>
        <w:rPr>
          <w:sz w:val="24"/>
        </w:rPr>
      </w:pPr>
      <w:r>
        <w:rPr>
          <w:sz w:val="24"/>
        </w:rPr>
        <w:t>R Statistical Software (version </w:t>
      </w:r>
      <w:r>
        <w:rPr>
          <w:spacing w:val="-2"/>
          <w:sz w:val="24"/>
        </w:rPr>
        <w:t>4.2.2)</w:t>
      </w:r>
    </w:p>
    <w:p>
      <w:pPr>
        <w:pStyle w:val="ListParagraph"/>
        <w:numPr>
          <w:ilvl w:val="3"/>
          <w:numId w:val="3"/>
        </w:numPr>
        <w:tabs>
          <w:tab w:pos="266" w:val="left" w:leader="none"/>
        </w:tabs>
        <w:spacing w:line="240" w:lineRule="auto" w:before="84" w:after="0"/>
        <w:ind w:left="266" w:right="0" w:hanging="146"/>
        <w:jc w:val="left"/>
        <w:rPr>
          <w:sz w:val="24"/>
        </w:rPr>
      </w:pPr>
      <w:r>
        <w:rPr>
          <w:sz w:val="24"/>
        </w:rPr>
        <w:t>Microsoft Excel with Data Analysis </w:t>
      </w:r>
      <w:r>
        <w:rPr>
          <w:spacing w:val="-2"/>
          <w:sz w:val="24"/>
        </w:rPr>
        <w:t>ToolPak</w:t>
      </w:r>
    </w:p>
    <w:p>
      <w:pPr>
        <w:pStyle w:val="ListParagraph"/>
        <w:numPr>
          <w:ilvl w:val="3"/>
          <w:numId w:val="3"/>
        </w:numPr>
        <w:tabs>
          <w:tab w:pos="266" w:val="left" w:leader="none"/>
        </w:tabs>
        <w:spacing w:line="240" w:lineRule="auto" w:before="84" w:after="0"/>
        <w:ind w:left="266" w:right="0" w:hanging="146"/>
        <w:jc w:val="left"/>
        <w:rPr>
          <w:sz w:val="24"/>
        </w:rPr>
      </w:pPr>
      <w:r>
        <w:rPr>
          <w:sz w:val="24"/>
        </w:rPr>
        <w:t>STATA (version 17.0) for panel data </w:t>
      </w:r>
      <w:r>
        <w:rPr>
          <w:spacing w:val="-2"/>
          <w:sz w:val="24"/>
        </w:rPr>
        <w:t>analysis</w:t>
      </w:r>
    </w:p>
    <w:p>
      <w:pPr>
        <w:pStyle w:val="BodyText"/>
        <w:spacing w:before="93"/>
      </w:pPr>
    </w:p>
    <w:p>
      <w:pPr>
        <w:pStyle w:val="Heading2"/>
        <w:numPr>
          <w:ilvl w:val="1"/>
          <w:numId w:val="3"/>
        </w:numPr>
        <w:tabs>
          <w:tab w:pos="653" w:val="left" w:leader="none"/>
        </w:tabs>
        <w:spacing w:line="240" w:lineRule="auto" w:before="0" w:after="0"/>
        <w:ind w:left="653" w:right="0" w:hanging="533"/>
        <w:jc w:val="left"/>
      </w:pPr>
      <w:r>
        <w:rPr/>
        <w:t>Limitations of the </w:t>
      </w:r>
      <w:r>
        <w:rPr>
          <w:spacing w:val="-2"/>
        </w:rPr>
        <w:t>Study</w:t>
      </w:r>
    </w:p>
    <w:p>
      <w:pPr>
        <w:pStyle w:val="BodyText"/>
        <w:spacing w:before="8"/>
        <w:rPr>
          <w:rFonts w:ascii="Arial"/>
          <w:b/>
          <w:sz w:val="32"/>
        </w:rPr>
      </w:pPr>
    </w:p>
    <w:p>
      <w:pPr>
        <w:pStyle w:val="BodyText"/>
        <w:spacing w:line="208" w:lineRule="auto" w:before="0"/>
        <w:ind w:left="120" w:right="1221"/>
      </w:pPr>
      <w:r>
        <w:rPr/>
        <w:t>Despite</w:t>
      </w:r>
      <w:r>
        <w:rPr>
          <w:spacing w:val="-4"/>
        </w:rPr>
        <w:t> </w:t>
      </w:r>
      <w:r>
        <w:rPr/>
        <w:t>the</w:t>
      </w:r>
      <w:r>
        <w:rPr>
          <w:spacing w:val="-4"/>
        </w:rPr>
        <w:t> </w:t>
      </w:r>
      <w:r>
        <w:rPr/>
        <w:t>comprehensive</w:t>
      </w:r>
      <w:r>
        <w:rPr>
          <w:spacing w:val="-4"/>
        </w:rPr>
        <w:t> </w:t>
      </w:r>
      <w:r>
        <w:rPr/>
        <w:t>approach,</w:t>
      </w:r>
      <w:r>
        <w:rPr>
          <w:spacing w:val="-4"/>
        </w:rPr>
        <w:t> </w:t>
      </w:r>
      <w:r>
        <w:rPr/>
        <w:t>this</w:t>
      </w:r>
      <w:r>
        <w:rPr>
          <w:spacing w:val="-4"/>
        </w:rPr>
        <w:t> </w:t>
      </w:r>
      <w:r>
        <w:rPr/>
        <w:t>study</w:t>
      </w:r>
      <w:r>
        <w:rPr>
          <w:spacing w:val="-4"/>
        </w:rPr>
        <w:t> </w:t>
      </w:r>
      <w:r>
        <w:rPr/>
        <w:t>has</w:t>
      </w:r>
      <w:r>
        <w:rPr>
          <w:spacing w:val="-4"/>
        </w:rPr>
        <w:t> </w:t>
      </w:r>
      <w:r>
        <w:rPr/>
        <w:t>several</w:t>
      </w:r>
      <w:r>
        <w:rPr>
          <w:spacing w:val="-4"/>
        </w:rPr>
        <w:t> </w:t>
      </w:r>
      <w:r>
        <w:rPr/>
        <w:t>limitations</w:t>
      </w:r>
      <w:r>
        <w:rPr>
          <w:spacing w:val="-4"/>
        </w:rPr>
        <w:t> </w:t>
      </w:r>
      <w:r>
        <w:rPr/>
        <w:t>that</w:t>
      </w:r>
      <w:r>
        <w:rPr>
          <w:spacing w:val="-4"/>
        </w:rPr>
        <w:t> </w:t>
      </w:r>
      <w:r>
        <w:rPr/>
        <w:t>should</w:t>
      </w:r>
      <w:r>
        <w:rPr>
          <w:spacing w:val="-4"/>
        </w:rPr>
        <w:t> </w:t>
      </w:r>
      <w:r>
        <w:rPr/>
        <w:t>be </w:t>
      </w:r>
      <w:r>
        <w:rPr>
          <w:spacing w:val="-2"/>
        </w:rPr>
        <w:t>acknowledged:</w:t>
      </w:r>
    </w:p>
    <w:p>
      <w:pPr>
        <w:pStyle w:val="BodyText"/>
        <w:spacing w:before="14"/>
      </w:pPr>
    </w:p>
    <w:p>
      <w:pPr>
        <w:pStyle w:val="Heading4"/>
        <w:spacing w:before="1"/>
      </w:pPr>
      <w:r>
        <w:rPr/>
        <w:t>Data </w:t>
      </w:r>
      <w:r>
        <w:rPr>
          <w:spacing w:val="-2"/>
        </w:rPr>
        <w:t>Limitations:</w:t>
      </w:r>
    </w:p>
    <w:p>
      <w:pPr>
        <w:pStyle w:val="ListParagraph"/>
        <w:numPr>
          <w:ilvl w:val="0"/>
          <w:numId w:val="13"/>
        </w:numPr>
        <w:tabs>
          <w:tab w:pos="266" w:val="left" w:leader="none"/>
        </w:tabs>
        <w:spacing w:line="208" w:lineRule="auto" w:before="113" w:after="0"/>
        <w:ind w:left="120" w:right="1887" w:firstLine="0"/>
        <w:jc w:val="left"/>
        <w:rPr>
          <w:sz w:val="24"/>
        </w:rPr>
      </w:pPr>
      <w:r>
        <w:rPr>
          <w:sz w:val="24"/>
        </w:rPr>
        <w:t>Reliance</w:t>
      </w:r>
      <w:r>
        <w:rPr>
          <w:spacing w:val="-4"/>
          <w:sz w:val="24"/>
        </w:rPr>
        <w:t> </w:t>
      </w:r>
      <w:r>
        <w:rPr>
          <w:sz w:val="24"/>
        </w:rPr>
        <w:t>on</w:t>
      </w:r>
      <w:r>
        <w:rPr>
          <w:spacing w:val="-4"/>
          <w:sz w:val="24"/>
        </w:rPr>
        <w:t> </w:t>
      </w:r>
      <w:r>
        <w:rPr>
          <w:sz w:val="24"/>
        </w:rPr>
        <w:t>publicly</w:t>
      </w:r>
      <w:r>
        <w:rPr>
          <w:spacing w:val="-4"/>
          <w:sz w:val="24"/>
        </w:rPr>
        <w:t> </w:t>
      </w:r>
      <w:r>
        <w:rPr>
          <w:sz w:val="24"/>
        </w:rPr>
        <w:t>available</w:t>
      </w:r>
      <w:r>
        <w:rPr>
          <w:spacing w:val="-4"/>
          <w:sz w:val="24"/>
        </w:rPr>
        <w:t> </w:t>
      </w:r>
      <w:r>
        <w:rPr>
          <w:sz w:val="24"/>
        </w:rPr>
        <w:t>financial</w:t>
      </w:r>
      <w:r>
        <w:rPr>
          <w:spacing w:val="-4"/>
          <w:sz w:val="24"/>
        </w:rPr>
        <w:t> </w:t>
      </w:r>
      <w:r>
        <w:rPr>
          <w:sz w:val="24"/>
        </w:rPr>
        <w:t>information,</w:t>
      </w:r>
      <w:r>
        <w:rPr>
          <w:spacing w:val="-4"/>
          <w:sz w:val="24"/>
        </w:rPr>
        <w:t> </w:t>
      </w:r>
      <w:r>
        <w:rPr>
          <w:sz w:val="24"/>
        </w:rPr>
        <w:t>which</w:t>
      </w:r>
      <w:r>
        <w:rPr>
          <w:spacing w:val="-4"/>
          <w:sz w:val="24"/>
        </w:rPr>
        <w:t> </w:t>
      </w:r>
      <w:r>
        <w:rPr>
          <w:sz w:val="24"/>
        </w:rPr>
        <w:t>may</w:t>
      </w:r>
      <w:r>
        <w:rPr>
          <w:spacing w:val="-4"/>
          <w:sz w:val="24"/>
        </w:rPr>
        <w:t> </w:t>
      </w:r>
      <w:r>
        <w:rPr>
          <w:sz w:val="24"/>
        </w:rPr>
        <w:t>lack</w:t>
      </w:r>
      <w:r>
        <w:rPr>
          <w:spacing w:val="-4"/>
          <w:sz w:val="24"/>
        </w:rPr>
        <w:t> </w:t>
      </w:r>
      <w:r>
        <w:rPr>
          <w:sz w:val="24"/>
        </w:rPr>
        <w:t>granularity</w:t>
      </w:r>
      <w:r>
        <w:rPr>
          <w:spacing w:val="-4"/>
          <w:sz w:val="24"/>
        </w:rPr>
        <w:t> </w:t>
      </w:r>
      <w:r>
        <w:rPr>
          <w:sz w:val="24"/>
        </w:rPr>
        <w:t>for detailed segment-level analysis</w:t>
      </w:r>
    </w:p>
    <w:p>
      <w:pPr>
        <w:pStyle w:val="ListParagraph"/>
        <w:numPr>
          <w:ilvl w:val="0"/>
          <w:numId w:val="13"/>
        </w:numPr>
        <w:tabs>
          <w:tab w:pos="266" w:val="left" w:leader="none"/>
        </w:tabs>
        <w:spacing w:line="208" w:lineRule="auto" w:before="120" w:after="0"/>
        <w:ind w:left="120" w:right="2487" w:firstLine="0"/>
        <w:jc w:val="left"/>
        <w:rPr>
          <w:sz w:val="24"/>
        </w:rPr>
      </w:pPr>
      <w:r>
        <w:rPr>
          <w:sz w:val="24"/>
        </w:rPr>
        <w:t>Potential</w:t>
      </w:r>
      <w:r>
        <w:rPr>
          <w:spacing w:val="-6"/>
          <w:sz w:val="24"/>
        </w:rPr>
        <w:t> </w:t>
      </w:r>
      <w:r>
        <w:rPr>
          <w:sz w:val="24"/>
        </w:rPr>
        <w:t>inconsistencies</w:t>
      </w:r>
      <w:r>
        <w:rPr>
          <w:spacing w:val="-6"/>
          <w:sz w:val="24"/>
        </w:rPr>
        <w:t> </w:t>
      </w:r>
      <w:r>
        <w:rPr>
          <w:sz w:val="24"/>
        </w:rPr>
        <w:t>in</w:t>
      </w:r>
      <w:r>
        <w:rPr>
          <w:spacing w:val="-6"/>
          <w:sz w:val="24"/>
        </w:rPr>
        <w:t> </w:t>
      </w:r>
      <w:r>
        <w:rPr>
          <w:sz w:val="24"/>
        </w:rPr>
        <w:t>financial</w:t>
      </w:r>
      <w:r>
        <w:rPr>
          <w:spacing w:val="-6"/>
          <w:sz w:val="24"/>
        </w:rPr>
        <w:t> </w:t>
      </w:r>
      <w:r>
        <w:rPr>
          <w:sz w:val="24"/>
        </w:rPr>
        <w:t>reporting</w:t>
      </w:r>
      <w:r>
        <w:rPr>
          <w:spacing w:val="-6"/>
          <w:sz w:val="24"/>
        </w:rPr>
        <w:t> </w:t>
      </w:r>
      <w:r>
        <w:rPr>
          <w:sz w:val="24"/>
        </w:rPr>
        <w:t>standards</w:t>
      </w:r>
      <w:r>
        <w:rPr>
          <w:spacing w:val="-6"/>
          <w:sz w:val="24"/>
        </w:rPr>
        <w:t> </w:t>
      </w:r>
      <w:r>
        <w:rPr>
          <w:sz w:val="24"/>
        </w:rPr>
        <w:t>across</w:t>
      </w:r>
      <w:r>
        <w:rPr>
          <w:spacing w:val="-6"/>
          <w:sz w:val="24"/>
        </w:rPr>
        <w:t> </w:t>
      </w:r>
      <w:r>
        <w:rPr>
          <w:sz w:val="24"/>
        </w:rPr>
        <w:t>comparison </w:t>
      </w:r>
      <w:r>
        <w:rPr>
          <w:spacing w:val="-2"/>
          <w:sz w:val="24"/>
        </w:rPr>
        <w:t>companies</w:t>
      </w:r>
    </w:p>
    <w:p>
      <w:pPr>
        <w:pStyle w:val="ListParagraph"/>
        <w:numPr>
          <w:ilvl w:val="0"/>
          <w:numId w:val="13"/>
        </w:numPr>
        <w:tabs>
          <w:tab w:pos="266" w:val="left" w:leader="none"/>
        </w:tabs>
        <w:spacing w:line="240" w:lineRule="auto" w:before="90" w:after="0"/>
        <w:ind w:left="266" w:right="0" w:hanging="146"/>
        <w:jc w:val="left"/>
        <w:rPr>
          <w:sz w:val="24"/>
        </w:rPr>
      </w:pPr>
      <w:r>
        <w:rPr>
          <w:sz w:val="24"/>
        </w:rPr>
        <w:t>Limited visibility into off-balance-sheet arrangements affecting working </w:t>
      </w:r>
      <w:r>
        <w:rPr>
          <w:spacing w:val="-2"/>
          <w:sz w:val="24"/>
        </w:rPr>
        <w:t>capital</w:t>
      </w:r>
    </w:p>
    <w:p>
      <w:pPr>
        <w:pStyle w:val="BodyText"/>
        <w:spacing w:before="8"/>
      </w:pPr>
    </w:p>
    <w:p>
      <w:pPr>
        <w:pStyle w:val="Heading4"/>
      </w:pPr>
      <w:r>
        <w:rPr/>
        <w:t>Methodological </w:t>
      </w:r>
      <w:r>
        <w:rPr>
          <w:spacing w:val="-2"/>
        </w:rPr>
        <w:t>Limitations:</w:t>
      </w:r>
    </w:p>
    <w:p>
      <w:pPr>
        <w:pStyle w:val="ListParagraph"/>
        <w:numPr>
          <w:ilvl w:val="0"/>
          <w:numId w:val="13"/>
        </w:numPr>
        <w:tabs>
          <w:tab w:pos="266" w:val="left" w:leader="none"/>
        </w:tabs>
        <w:spacing w:line="208" w:lineRule="auto" w:before="114" w:after="0"/>
        <w:ind w:left="120" w:right="2207" w:firstLine="0"/>
        <w:jc w:val="left"/>
        <w:rPr>
          <w:sz w:val="24"/>
        </w:rPr>
      </w:pPr>
      <w:r>
        <w:rPr>
          <w:sz w:val="24"/>
        </w:rPr>
        <w:t>Inherent</w:t>
      </w:r>
      <w:r>
        <w:rPr>
          <w:spacing w:val="-4"/>
          <w:sz w:val="24"/>
        </w:rPr>
        <w:t> </w:t>
      </w:r>
      <w:r>
        <w:rPr>
          <w:sz w:val="24"/>
        </w:rPr>
        <w:t>limitations</w:t>
      </w:r>
      <w:r>
        <w:rPr>
          <w:spacing w:val="-4"/>
          <w:sz w:val="24"/>
        </w:rPr>
        <w:t> </w:t>
      </w:r>
      <w:r>
        <w:rPr>
          <w:sz w:val="24"/>
        </w:rPr>
        <w:t>of</w:t>
      </w:r>
      <w:r>
        <w:rPr>
          <w:spacing w:val="-4"/>
          <w:sz w:val="24"/>
        </w:rPr>
        <w:t> </w:t>
      </w:r>
      <w:r>
        <w:rPr>
          <w:sz w:val="24"/>
        </w:rPr>
        <w:t>ratio</w:t>
      </w:r>
      <w:r>
        <w:rPr>
          <w:spacing w:val="-4"/>
          <w:sz w:val="24"/>
        </w:rPr>
        <w:t> </w:t>
      </w:r>
      <w:r>
        <w:rPr>
          <w:sz w:val="24"/>
        </w:rPr>
        <w:t>analysis</w:t>
      </w:r>
      <w:r>
        <w:rPr>
          <w:spacing w:val="-4"/>
          <w:sz w:val="24"/>
        </w:rPr>
        <w:t> </w:t>
      </w:r>
      <w:r>
        <w:rPr>
          <w:sz w:val="24"/>
        </w:rPr>
        <w:t>in</w:t>
      </w:r>
      <w:r>
        <w:rPr>
          <w:spacing w:val="-4"/>
          <w:sz w:val="24"/>
        </w:rPr>
        <w:t> </w:t>
      </w:r>
      <w:r>
        <w:rPr>
          <w:sz w:val="24"/>
        </w:rPr>
        <w:t>capturing</w:t>
      </w:r>
      <w:r>
        <w:rPr>
          <w:spacing w:val="-4"/>
          <w:sz w:val="24"/>
        </w:rPr>
        <w:t> </w:t>
      </w:r>
      <w:r>
        <w:rPr>
          <w:sz w:val="24"/>
        </w:rPr>
        <w:t>the</w:t>
      </w:r>
      <w:r>
        <w:rPr>
          <w:spacing w:val="-4"/>
          <w:sz w:val="24"/>
        </w:rPr>
        <w:t> </w:t>
      </w:r>
      <w:r>
        <w:rPr>
          <w:sz w:val="24"/>
        </w:rPr>
        <w:t>dynamic</w:t>
      </w:r>
      <w:r>
        <w:rPr>
          <w:spacing w:val="-4"/>
          <w:sz w:val="24"/>
        </w:rPr>
        <w:t> </w:t>
      </w:r>
      <w:r>
        <w:rPr>
          <w:sz w:val="24"/>
        </w:rPr>
        <w:t>nature</w:t>
      </w:r>
      <w:r>
        <w:rPr>
          <w:spacing w:val="-4"/>
          <w:sz w:val="24"/>
        </w:rPr>
        <w:t> </w:t>
      </w:r>
      <w:r>
        <w:rPr>
          <w:sz w:val="24"/>
        </w:rPr>
        <w:t>of</w:t>
      </w:r>
      <w:r>
        <w:rPr>
          <w:spacing w:val="-4"/>
          <w:sz w:val="24"/>
        </w:rPr>
        <w:t> </w:t>
      </w:r>
      <w:r>
        <w:rPr>
          <w:sz w:val="24"/>
        </w:rPr>
        <w:t>working capital management</w:t>
      </w:r>
    </w:p>
    <w:p>
      <w:pPr>
        <w:pStyle w:val="ListParagraph"/>
        <w:numPr>
          <w:ilvl w:val="0"/>
          <w:numId w:val="13"/>
        </w:numPr>
        <w:tabs>
          <w:tab w:pos="266" w:val="left" w:leader="none"/>
        </w:tabs>
        <w:spacing w:line="208" w:lineRule="auto" w:before="119" w:after="0"/>
        <w:ind w:left="120" w:right="1620" w:firstLine="0"/>
        <w:jc w:val="left"/>
        <w:rPr>
          <w:sz w:val="24"/>
        </w:rPr>
      </w:pPr>
      <w:r>
        <w:rPr>
          <w:sz w:val="24"/>
        </w:rPr>
        <w:t>Challenges</w:t>
      </w:r>
      <w:r>
        <w:rPr>
          <w:spacing w:val="-4"/>
          <w:sz w:val="24"/>
        </w:rPr>
        <w:t> </w:t>
      </w:r>
      <w:r>
        <w:rPr>
          <w:sz w:val="24"/>
        </w:rPr>
        <w:t>in</w:t>
      </w:r>
      <w:r>
        <w:rPr>
          <w:spacing w:val="-4"/>
          <w:sz w:val="24"/>
        </w:rPr>
        <w:t> </w:t>
      </w:r>
      <w:r>
        <w:rPr>
          <w:sz w:val="24"/>
        </w:rPr>
        <w:t>isolating</w:t>
      </w:r>
      <w:r>
        <w:rPr>
          <w:spacing w:val="-4"/>
          <w:sz w:val="24"/>
        </w:rPr>
        <w:t> </w:t>
      </w:r>
      <w:r>
        <w:rPr>
          <w:sz w:val="24"/>
        </w:rPr>
        <w:t>the</w:t>
      </w:r>
      <w:r>
        <w:rPr>
          <w:spacing w:val="-4"/>
          <w:sz w:val="24"/>
        </w:rPr>
        <w:t> </w:t>
      </w:r>
      <w:r>
        <w:rPr>
          <w:sz w:val="24"/>
        </w:rPr>
        <w:t>impact</w:t>
      </w:r>
      <w:r>
        <w:rPr>
          <w:spacing w:val="-4"/>
          <w:sz w:val="24"/>
        </w:rPr>
        <w:t> </w:t>
      </w:r>
      <w:r>
        <w:rPr>
          <w:sz w:val="24"/>
        </w:rPr>
        <w:t>of</w:t>
      </w:r>
      <w:r>
        <w:rPr>
          <w:spacing w:val="-4"/>
          <w:sz w:val="24"/>
        </w:rPr>
        <w:t> </w:t>
      </w:r>
      <w:r>
        <w:rPr>
          <w:sz w:val="24"/>
        </w:rPr>
        <w:t>working</w:t>
      </w:r>
      <w:r>
        <w:rPr>
          <w:spacing w:val="-4"/>
          <w:sz w:val="24"/>
        </w:rPr>
        <w:t> </w:t>
      </w:r>
      <w:r>
        <w:rPr>
          <w:sz w:val="24"/>
        </w:rPr>
        <w:t>capital</w:t>
      </w:r>
      <w:r>
        <w:rPr>
          <w:spacing w:val="-4"/>
          <w:sz w:val="24"/>
        </w:rPr>
        <w:t> </w:t>
      </w:r>
      <w:r>
        <w:rPr>
          <w:sz w:val="24"/>
        </w:rPr>
        <w:t>management</w:t>
      </w:r>
      <w:r>
        <w:rPr>
          <w:spacing w:val="-4"/>
          <w:sz w:val="24"/>
        </w:rPr>
        <w:t> </w:t>
      </w:r>
      <w:r>
        <w:rPr>
          <w:sz w:val="24"/>
        </w:rPr>
        <w:t>from</w:t>
      </w:r>
      <w:r>
        <w:rPr>
          <w:spacing w:val="-4"/>
          <w:sz w:val="24"/>
        </w:rPr>
        <w:t> </w:t>
      </w:r>
      <w:r>
        <w:rPr>
          <w:sz w:val="24"/>
        </w:rPr>
        <w:t>other</w:t>
      </w:r>
      <w:r>
        <w:rPr>
          <w:spacing w:val="-4"/>
          <w:sz w:val="24"/>
        </w:rPr>
        <w:t> </w:t>
      </w:r>
      <w:r>
        <w:rPr>
          <w:sz w:val="24"/>
        </w:rPr>
        <w:t>factors affecting financial performance</w:t>
      </w:r>
    </w:p>
    <w:p>
      <w:pPr>
        <w:pStyle w:val="ListParagraph"/>
        <w:numPr>
          <w:ilvl w:val="0"/>
          <w:numId w:val="13"/>
        </w:numPr>
        <w:tabs>
          <w:tab w:pos="266" w:val="left" w:leader="none"/>
        </w:tabs>
        <w:spacing w:line="208" w:lineRule="auto" w:before="120" w:after="0"/>
        <w:ind w:left="120" w:right="1926" w:firstLine="0"/>
        <w:jc w:val="left"/>
        <w:rPr>
          <w:sz w:val="24"/>
        </w:rPr>
      </w:pPr>
      <w:r>
        <w:rPr>
          <w:sz w:val="24"/>
        </w:rPr>
        <w:t>Difficulty</w:t>
      </w:r>
      <w:r>
        <w:rPr>
          <w:spacing w:val="-5"/>
          <w:sz w:val="24"/>
        </w:rPr>
        <w:t> </w:t>
      </w:r>
      <w:r>
        <w:rPr>
          <w:sz w:val="24"/>
        </w:rPr>
        <w:t>in</w:t>
      </w:r>
      <w:r>
        <w:rPr>
          <w:spacing w:val="-5"/>
          <w:sz w:val="24"/>
        </w:rPr>
        <w:t> </w:t>
      </w:r>
      <w:r>
        <w:rPr>
          <w:sz w:val="24"/>
        </w:rPr>
        <w:t>establishing</w:t>
      </w:r>
      <w:r>
        <w:rPr>
          <w:spacing w:val="-5"/>
          <w:sz w:val="24"/>
        </w:rPr>
        <w:t> </w:t>
      </w:r>
      <w:r>
        <w:rPr>
          <w:sz w:val="24"/>
        </w:rPr>
        <w:t>causality</w:t>
      </w:r>
      <w:r>
        <w:rPr>
          <w:spacing w:val="-5"/>
          <w:sz w:val="24"/>
        </w:rPr>
        <w:t> </w:t>
      </w:r>
      <w:r>
        <w:rPr>
          <w:sz w:val="24"/>
        </w:rPr>
        <w:t>between</w:t>
      </w:r>
      <w:r>
        <w:rPr>
          <w:spacing w:val="-5"/>
          <w:sz w:val="24"/>
        </w:rPr>
        <w:t> </w:t>
      </w:r>
      <w:r>
        <w:rPr>
          <w:sz w:val="24"/>
        </w:rPr>
        <w:t>working</w:t>
      </w:r>
      <w:r>
        <w:rPr>
          <w:spacing w:val="-5"/>
          <w:sz w:val="24"/>
        </w:rPr>
        <w:t> </w:t>
      </w:r>
      <w:r>
        <w:rPr>
          <w:sz w:val="24"/>
        </w:rPr>
        <w:t>capital</w:t>
      </w:r>
      <w:r>
        <w:rPr>
          <w:spacing w:val="-5"/>
          <w:sz w:val="24"/>
        </w:rPr>
        <w:t> </w:t>
      </w:r>
      <w:r>
        <w:rPr>
          <w:sz w:val="24"/>
        </w:rPr>
        <w:t>efficiency</w:t>
      </w:r>
      <w:r>
        <w:rPr>
          <w:spacing w:val="-5"/>
          <w:sz w:val="24"/>
        </w:rPr>
        <w:t> </w:t>
      </w:r>
      <w:r>
        <w:rPr>
          <w:sz w:val="24"/>
        </w:rPr>
        <w:t>and</w:t>
      </w:r>
      <w:r>
        <w:rPr>
          <w:spacing w:val="-5"/>
          <w:sz w:val="24"/>
        </w:rPr>
        <w:t> </w:t>
      </w:r>
      <w:r>
        <w:rPr>
          <w:sz w:val="24"/>
        </w:rPr>
        <w:t>financial </w:t>
      </w:r>
      <w:r>
        <w:rPr>
          <w:spacing w:val="-2"/>
          <w:sz w:val="24"/>
        </w:rPr>
        <w:t>outcomes</w:t>
      </w:r>
    </w:p>
    <w:p>
      <w:pPr>
        <w:pStyle w:val="BodyText"/>
        <w:spacing w:before="15"/>
      </w:pPr>
    </w:p>
    <w:p>
      <w:pPr>
        <w:pStyle w:val="Heading4"/>
      </w:pPr>
      <w:r>
        <w:rPr/>
        <w:t>Contextual </w:t>
      </w:r>
      <w:r>
        <w:rPr>
          <w:spacing w:val="-2"/>
        </w:rPr>
        <w:t>Limitations:</w:t>
      </w:r>
    </w:p>
    <w:p>
      <w:pPr>
        <w:pStyle w:val="ListParagraph"/>
        <w:numPr>
          <w:ilvl w:val="0"/>
          <w:numId w:val="13"/>
        </w:numPr>
        <w:tabs>
          <w:tab w:pos="266" w:val="left" w:leader="none"/>
        </w:tabs>
        <w:spacing w:line="208" w:lineRule="auto" w:before="113" w:after="0"/>
        <w:ind w:left="120" w:right="1980" w:firstLine="0"/>
        <w:jc w:val="left"/>
        <w:rPr>
          <w:sz w:val="24"/>
        </w:rPr>
      </w:pPr>
      <w:r>
        <w:rPr>
          <w:sz w:val="24"/>
        </w:rPr>
        <w:t>Economic</w:t>
      </w:r>
      <w:r>
        <w:rPr>
          <w:spacing w:val="-5"/>
          <w:sz w:val="24"/>
        </w:rPr>
        <w:t> </w:t>
      </w:r>
      <w:r>
        <w:rPr>
          <w:sz w:val="24"/>
        </w:rPr>
        <w:t>fluctuations</w:t>
      </w:r>
      <w:r>
        <w:rPr>
          <w:spacing w:val="-5"/>
          <w:sz w:val="24"/>
        </w:rPr>
        <w:t> </w:t>
      </w:r>
      <w:r>
        <w:rPr>
          <w:sz w:val="24"/>
        </w:rPr>
        <w:t>during</w:t>
      </w:r>
      <w:r>
        <w:rPr>
          <w:spacing w:val="-5"/>
          <w:sz w:val="24"/>
        </w:rPr>
        <w:t> </w:t>
      </w:r>
      <w:r>
        <w:rPr>
          <w:sz w:val="24"/>
        </w:rPr>
        <w:t>the</w:t>
      </w:r>
      <w:r>
        <w:rPr>
          <w:spacing w:val="-5"/>
          <w:sz w:val="24"/>
        </w:rPr>
        <w:t> </w:t>
      </w:r>
      <w:r>
        <w:rPr>
          <w:sz w:val="24"/>
        </w:rPr>
        <w:t>study</w:t>
      </w:r>
      <w:r>
        <w:rPr>
          <w:spacing w:val="-5"/>
          <w:sz w:val="24"/>
        </w:rPr>
        <w:t> </w:t>
      </w:r>
      <w:r>
        <w:rPr>
          <w:sz w:val="24"/>
        </w:rPr>
        <w:t>period,</w:t>
      </w:r>
      <w:r>
        <w:rPr>
          <w:spacing w:val="-5"/>
          <w:sz w:val="24"/>
        </w:rPr>
        <w:t> </w:t>
      </w:r>
      <w:r>
        <w:rPr>
          <w:sz w:val="24"/>
        </w:rPr>
        <w:t>including</w:t>
      </w:r>
      <w:r>
        <w:rPr>
          <w:spacing w:val="-5"/>
          <w:sz w:val="24"/>
        </w:rPr>
        <w:t> </w:t>
      </w:r>
      <w:r>
        <w:rPr>
          <w:sz w:val="24"/>
        </w:rPr>
        <w:t>post-pandemic</w:t>
      </w:r>
      <w:r>
        <w:rPr>
          <w:spacing w:val="-5"/>
          <w:sz w:val="24"/>
        </w:rPr>
        <w:t> </w:t>
      </w:r>
      <w:r>
        <w:rPr>
          <w:sz w:val="24"/>
        </w:rPr>
        <w:t>recovery effects, potentially affecting working capital metrics</w:t>
      </w:r>
    </w:p>
    <w:p>
      <w:pPr>
        <w:pStyle w:val="ListParagraph"/>
        <w:numPr>
          <w:ilvl w:val="0"/>
          <w:numId w:val="13"/>
        </w:numPr>
        <w:tabs>
          <w:tab w:pos="266" w:val="left" w:leader="none"/>
        </w:tabs>
        <w:spacing w:line="240" w:lineRule="auto" w:before="91" w:after="0"/>
        <w:ind w:left="266" w:right="0" w:hanging="146"/>
        <w:jc w:val="left"/>
        <w:rPr>
          <w:sz w:val="24"/>
        </w:rPr>
      </w:pPr>
      <w:r>
        <w:rPr>
          <w:sz w:val="24"/>
        </w:rPr>
        <w:t>Structural changes in RIL's business portfolio complicating longitudinal </w:t>
      </w:r>
      <w:r>
        <w:rPr>
          <w:spacing w:val="-2"/>
          <w:sz w:val="24"/>
        </w:rPr>
        <w:t>comparisons</w:t>
      </w:r>
    </w:p>
    <w:p>
      <w:pPr>
        <w:pStyle w:val="ListParagraph"/>
        <w:numPr>
          <w:ilvl w:val="0"/>
          <w:numId w:val="13"/>
        </w:numPr>
        <w:tabs>
          <w:tab w:pos="266" w:val="left" w:leader="none"/>
        </w:tabs>
        <w:spacing w:line="240" w:lineRule="auto" w:before="84" w:after="0"/>
        <w:ind w:left="266" w:right="0" w:hanging="146"/>
        <w:jc w:val="left"/>
        <w:rPr>
          <w:sz w:val="24"/>
        </w:rPr>
      </w:pPr>
      <w:r>
        <w:rPr>
          <w:sz w:val="24"/>
        </w:rPr>
        <w:t>Industry transformations affecting the comparability of historical </w:t>
      </w:r>
      <w:r>
        <w:rPr>
          <w:spacing w:val="-4"/>
          <w:sz w:val="24"/>
        </w:rPr>
        <w:t>data</w:t>
      </w:r>
    </w:p>
    <w:p>
      <w:pPr>
        <w:pStyle w:val="BodyText"/>
        <w:spacing w:before="7"/>
      </w:pPr>
    </w:p>
    <w:p>
      <w:pPr>
        <w:pStyle w:val="Heading4"/>
        <w:spacing w:before="1"/>
      </w:pPr>
      <w:r>
        <w:rPr/>
        <w:t>Generalizability </w:t>
      </w:r>
      <w:r>
        <w:rPr>
          <w:spacing w:val="-2"/>
        </w:rPr>
        <w:t>Limitations:</w:t>
      </w:r>
    </w:p>
    <w:p>
      <w:pPr>
        <w:pStyle w:val="ListParagraph"/>
        <w:numPr>
          <w:ilvl w:val="0"/>
          <w:numId w:val="13"/>
        </w:numPr>
        <w:tabs>
          <w:tab w:pos="266" w:val="left" w:leader="none"/>
        </w:tabs>
        <w:spacing w:line="240" w:lineRule="auto" w:before="84" w:after="0"/>
        <w:ind w:left="266" w:right="0" w:hanging="146"/>
        <w:jc w:val="left"/>
        <w:rPr>
          <w:sz w:val="24"/>
        </w:rPr>
      </w:pPr>
      <w:r>
        <w:rPr>
          <w:sz w:val="24"/>
        </w:rPr>
        <w:t>Case study approach focusing on a single company, limiting broader </w:t>
      </w:r>
      <w:r>
        <w:rPr>
          <w:spacing w:val="-2"/>
          <w:sz w:val="24"/>
        </w:rPr>
        <w:t>applicability</w:t>
      </w:r>
    </w:p>
    <w:p>
      <w:pPr>
        <w:pStyle w:val="ListParagraph"/>
        <w:numPr>
          <w:ilvl w:val="0"/>
          <w:numId w:val="13"/>
        </w:numPr>
        <w:tabs>
          <w:tab w:pos="266" w:val="left" w:leader="none"/>
        </w:tabs>
        <w:spacing w:line="208" w:lineRule="auto" w:before="113" w:after="0"/>
        <w:ind w:left="120" w:right="1820" w:firstLine="0"/>
        <w:jc w:val="left"/>
        <w:rPr>
          <w:sz w:val="24"/>
        </w:rPr>
      </w:pPr>
      <w:r>
        <w:rPr>
          <w:sz w:val="24"/>
        </w:rPr>
        <w:t>Unique</w:t>
      </w:r>
      <w:r>
        <w:rPr>
          <w:spacing w:val="-5"/>
          <w:sz w:val="24"/>
        </w:rPr>
        <w:t> </w:t>
      </w:r>
      <w:r>
        <w:rPr>
          <w:sz w:val="24"/>
        </w:rPr>
        <w:t>characteristics</w:t>
      </w:r>
      <w:r>
        <w:rPr>
          <w:spacing w:val="-5"/>
          <w:sz w:val="24"/>
        </w:rPr>
        <w:t> </w:t>
      </w:r>
      <w:r>
        <w:rPr>
          <w:sz w:val="24"/>
        </w:rPr>
        <w:t>of</w:t>
      </w:r>
      <w:r>
        <w:rPr>
          <w:spacing w:val="-5"/>
          <w:sz w:val="24"/>
        </w:rPr>
        <w:t> </w:t>
      </w:r>
      <w:r>
        <w:rPr>
          <w:sz w:val="24"/>
        </w:rPr>
        <w:t>RIL</w:t>
      </w:r>
      <w:r>
        <w:rPr>
          <w:spacing w:val="-5"/>
          <w:sz w:val="24"/>
        </w:rPr>
        <w:t> </w:t>
      </w:r>
      <w:r>
        <w:rPr>
          <w:sz w:val="24"/>
        </w:rPr>
        <w:t>as</w:t>
      </w:r>
      <w:r>
        <w:rPr>
          <w:spacing w:val="-5"/>
          <w:sz w:val="24"/>
        </w:rPr>
        <w:t> </w:t>
      </w:r>
      <w:r>
        <w:rPr>
          <w:sz w:val="24"/>
        </w:rPr>
        <w:t>a</w:t>
      </w:r>
      <w:r>
        <w:rPr>
          <w:spacing w:val="-5"/>
          <w:sz w:val="24"/>
        </w:rPr>
        <w:t> </w:t>
      </w:r>
      <w:r>
        <w:rPr>
          <w:sz w:val="24"/>
        </w:rPr>
        <w:t>diversified</w:t>
      </w:r>
      <w:r>
        <w:rPr>
          <w:spacing w:val="-5"/>
          <w:sz w:val="24"/>
        </w:rPr>
        <w:t> </w:t>
      </w:r>
      <w:r>
        <w:rPr>
          <w:sz w:val="24"/>
        </w:rPr>
        <w:t>conglomerate</w:t>
      </w:r>
      <w:r>
        <w:rPr>
          <w:spacing w:val="-5"/>
          <w:sz w:val="24"/>
        </w:rPr>
        <w:t> </w:t>
      </w:r>
      <w:r>
        <w:rPr>
          <w:sz w:val="24"/>
        </w:rPr>
        <w:t>affecting</w:t>
      </w:r>
      <w:r>
        <w:rPr>
          <w:spacing w:val="-5"/>
          <w:sz w:val="24"/>
        </w:rPr>
        <w:t> </w:t>
      </w:r>
      <w:r>
        <w:rPr>
          <w:sz w:val="24"/>
        </w:rPr>
        <w:t>comparability with more focused enterprises</w:t>
      </w:r>
    </w:p>
    <w:p>
      <w:pPr>
        <w:pStyle w:val="ListParagraph"/>
        <w:spacing w:after="0" w:line="208" w:lineRule="auto"/>
        <w:jc w:val="left"/>
        <w:rPr>
          <w:sz w:val="24"/>
        </w:rPr>
        <w:sectPr>
          <w:pgSz w:w="12240" w:h="15840"/>
          <w:pgMar w:top="1500" w:bottom="280" w:left="1440" w:right="0"/>
        </w:sectPr>
      </w:pPr>
    </w:p>
    <w:p>
      <w:pPr>
        <w:pStyle w:val="BodyText"/>
        <w:spacing w:line="208" w:lineRule="auto" w:before="104"/>
        <w:ind w:left="120" w:right="1563"/>
      </w:pPr>
      <w:r>
        <w:rPr/>
        <w:t>These</w:t>
      </w:r>
      <w:r>
        <w:rPr>
          <w:spacing w:val="-4"/>
        </w:rPr>
        <w:t> </w:t>
      </w:r>
      <w:r>
        <w:rPr/>
        <w:t>limitations</w:t>
      </w:r>
      <w:r>
        <w:rPr>
          <w:spacing w:val="-4"/>
        </w:rPr>
        <w:t> </w:t>
      </w:r>
      <w:r>
        <w:rPr/>
        <w:t>are</w:t>
      </w:r>
      <w:r>
        <w:rPr>
          <w:spacing w:val="-4"/>
        </w:rPr>
        <w:t> </w:t>
      </w:r>
      <w:r>
        <w:rPr/>
        <w:t>addressed</w:t>
      </w:r>
      <w:r>
        <w:rPr>
          <w:spacing w:val="-4"/>
        </w:rPr>
        <w:t> </w:t>
      </w:r>
      <w:r>
        <w:rPr/>
        <w:t>where</w:t>
      </w:r>
      <w:r>
        <w:rPr>
          <w:spacing w:val="-4"/>
        </w:rPr>
        <w:t> </w:t>
      </w:r>
      <w:r>
        <w:rPr/>
        <w:t>possible</w:t>
      </w:r>
      <w:r>
        <w:rPr>
          <w:spacing w:val="-4"/>
        </w:rPr>
        <w:t> </w:t>
      </w:r>
      <w:r>
        <w:rPr/>
        <w:t>through</w:t>
      </w:r>
      <w:r>
        <w:rPr>
          <w:spacing w:val="-4"/>
        </w:rPr>
        <w:t> </w:t>
      </w:r>
      <w:r>
        <w:rPr/>
        <w:t>triangulation</w:t>
      </w:r>
      <w:r>
        <w:rPr>
          <w:spacing w:val="-4"/>
        </w:rPr>
        <w:t> </w:t>
      </w:r>
      <w:r>
        <w:rPr/>
        <w:t>of</w:t>
      </w:r>
      <w:r>
        <w:rPr>
          <w:spacing w:val="-4"/>
        </w:rPr>
        <w:t> </w:t>
      </w:r>
      <w:r>
        <w:rPr/>
        <w:t>data</w:t>
      </w:r>
      <w:r>
        <w:rPr>
          <w:spacing w:val="-4"/>
        </w:rPr>
        <w:t> </w:t>
      </w:r>
      <w:r>
        <w:rPr/>
        <w:t>sources, sensitivity analyses, and appropriate contextual interpretation of findings.</w:t>
      </w:r>
    </w:p>
    <w:p>
      <w:pPr>
        <w:pStyle w:val="BodyText"/>
        <w:spacing w:before="262"/>
      </w:pPr>
    </w:p>
    <w:p>
      <w:pPr>
        <w:pStyle w:val="Heading1"/>
        <w:numPr>
          <w:ilvl w:val="0"/>
          <w:numId w:val="3"/>
        </w:numPr>
        <w:tabs>
          <w:tab w:pos="520" w:val="left" w:leader="none"/>
        </w:tabs>
        <w:spacing w:line="240" w:lineRule="auto" w:before="0" w:after="0"/>
        <w:ind w:left="520" w:right="0" w:hanging="400"/>
        <w:jc w:val="left"/>
      </w:pPr>
      <w:r>
        <w:rPr/>
        <w:t>DATA ANALYSIS AND </w:t>
      </w:r>
      <w:r>
        <w:rPr>
          <w:spacing w:val="-2"/>
        </w:rPr>
        <w:t>FINDINGS</w:t>
      </w:r>
    </w:p>
    <w:p>
      <w:pPr>
        <w:pStyle w:val="BodyText"/>
        <w:spacing w:before="89"/>
        <w:rPr>
          <w:rFonts w:ascii="Arial"/>
          <w:b/>
          <w:sz w:val="36"/>
        </w:rPr>
      </w:pPr>
    </w:p>
    <w:p>
      <w:pPr>
        <w:pStyle w:val="Heading2"/>
        <w:numPr>
          <w:ilvl w:val="1"/>
          <w:numId w:val="3"/>
        </w:numPr>
        <w:tabs>
          <w:tab w:pos="653" w:val="left" w:leader="none"/>
        </w:tabs>
        <w:spacing w:line="240" w:lineRule="auto" w:before="0" w:after="0"/>
        <w:ind w:left="653" w:right="0" w:hanging="533"/>
        <w:jc w:val="left"/>
      </w:pPr>
      <w:r>
        <w:rPr/>
        <w:t>Analysis of Working Capital </w:t>
      </w:r>
      <w:r>
        <w:rPr>
          <w:spacing w:val="-2"/>
        </w:rPr>
        <w:t>Components</w:t>
      </w:r>
    </w:p>
    <w:p>
      <w:pPr>
        <w:pStyle w:val="BodyText"/>
        <w:spacing w:before="9"/>
        <w:rPr>
          <w:rFonts w:ascii="Arial"/>
          <w:b/>
          <w:sz w:val="32"/>
        </w:rPr>
      </w:pPr>
    </w:p>
    <w:p>
      <w:pPr>
        <w:pStyle w:val="BodyText"/>
        <w:spacing w:line="208" w:lineRule="auto" w:before="0"/>
        <w:ind w:left="120" w:right="1633"/>
      </w:pPr>
      <w:r>
        <w:rPr/>
        <w:t>This</w:t>
      </w:r>
      <w:r>
        <w:rPr>
          <w:spacing w:val="-4"/>
        </w:rPr>
        <w:t> </w:t>
      </w:r>
      <w:r>
        <w:rPr/>
        <w:t>section</w:t>
      </w:r>
      <w:r>
        <w:rPr>
          <w:spacing w:val="-4"/>
        </w:rPr>
        <w:t> </w:t>
      </w:r>
      <w:r>
        <w:rPr/>
        <w:t>presents</w:t>
      </w:r>
      <w:r>
        <w:rPr>
          <w:spacing w:val="-4"/>
        </w:rPr>
        <w:t> </w:t>
      </w:r>
      <w:r>
        <w:rPr/>
        <w:t>a</w:t>
      </w:r>
      <w:r>
        <w:rPr>
          <w:spacing w:val="-4"/>
        </w:rPr>
        <w:t> </w:t>
      </w:r>
      <w:r>
        <w:rPr/>
        <w:t>detailed</w:t>
      </w:r>
      <w:r>
        <w:rPr>
          <w:spacing w:val="-4"/>
        </w:rPr>
        <w:t> </w:t>
      </w:r>
      <w:r>
        <w:rPr/>
        <w:t>analysis</w:t>
      </w:r>
      <w:r>
        <w:rPr>
          <w:spacing w:val="-4"/>
        </w:rPr>
        <w:t> </w:t>
      </w:r>
      <w:r>
        <w:rPr/>
        <w:t>of</w:t>
      </w:r>
      <w:r>
        <w:rPr>
          <w:spacing w:val="-4"/>
        </w:rPr>
        <w:t> </w:t>
      </w:r>
      <w:r>
        <w:rPr/>
        <w:t>Reliance</w:t>
      </w:r>
      <w:r>
        <w:rPr>
          <w:spacing w:val="-4"/>
        </w:rPr>
        <w:t> </w:t>
      </w:r>
      <w:r>
        <w:rPr/>
        <w:t>Industries</w:t>
      </w:r>
      <w:r>
        <w:rPr>
          <w:spacing w:val="-4"/>
        </w:rPr>
        <w:t> </w:t>
      </w:r>
      <w:r>
        <w:rPr/>
        <w:t>Limited's</w:t>
      </w:r>
      <w:r>
        <w:rPr>
          <w:spacing w:val="-4"/>
        </w:rPr>
        <w:t> </w:t>
      </w:r>
      <w:r>
        <w:rPr/>
        <w:t>working capital components over the five-year study period (FY2020-21 to FY2024-25).</w:t>
      </w:r>
    </w:p>
    <w:p>
      <w:pPr>
        <w:pStyle w:val="BodyText"/>
        <w:spacing w:before="57"/>
      </w:pPr>
    </w:p>
    <w:p>
      <w:pPr>
        <w:pStyle w:val="Heading3"/>
        <w:numPr>
          <w:ilvl w:val="2"/>
          <w:numId w:val="3"/>
        </w:numPr>
        <w:tabs>
          <w:tab w:pos="820" w:val="left" w:leader="none"/>
        </w:tabs>
        <w:spacing w:line="240" w:lineRule="auto" w:before="0" w:after="0"/>
        <w:ind w:left="820" w:right="0" w:hanging="700"/>
        <w:jc w:val="left"/>
      </w:pPr>
      <w:r>
        <w:rPr/>
        <w:t>Current Assets </w:t>
      </w:r>
      <w:r>
        <w:rPr>
          <w:spacing w:val="-2"/>
        </w:rPr>
        <w:t>Analysis</w:t>
      </w:r>
    </w:p>
    <w:p>
      <w:pPr>
        <w:pStyle w:val="BodyText"/>
        <w:spacing w:before="275"/>
        <w:ind w:left="120"/>
      </w:pPr>
      <w:r>
        <w:rPr/>
        <w:t>Table 5.1 presents the composition and trends of RIL's current </w:t>
      </w:r>
      <w:r>
        <w:rPr>
          <w:spacing w:val="-2"/>
        </w:rPr>
        <w:t>assets:</w:t>
      </w:r>
    </w:p>
    <w:p>
      <w:pPr>
        <w:pStyle w:val="BodyText"/>
        <w:spacing w:before="8"/>
      </w:pPr>
    </w:p>
    <w:p>
      <w:pPr>
        <w:pStyle w:val="Heading4"/>
      </w:pPr>
      <w:r>
        <w:rPr/>
        <w:t>Table 5.1: Composition of Current Assets (FY2020-21 to FY2024-</w:t>
      </w:r>
      <w:r>
        <w:rPr>
          <w:spacing w:val="-5"/>
        </w:rPr>
        <w:t>25)</w:t>
      </w:r>
    </w:p>
    <w:p>
      <w:pPr>
        <w:pStyle w:val="BodyText"/>
        <w:spacing w:before="6" w:after="1"/>
        <w:rPr>
          <w:rFonts w:ascii="Arial"/>
          <w:b/>
          <w:sz w:val="12"/>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1274"/>
        <w:gridCol w:w="1274"/>
        <w:gridCol w:w="1274"/>
        <w:gridCol w:w="1274"/>
        <w:gridCol w:w="1274"/>
        <w:gridCol w:w="1184"/>
      </w:tblGrid>
      <w:tr>
        <w:trPr>
          <w:trHeight w:val="350" w:hRule="atLeast"/>
        </w:trPr>
        <w:tc>
          <w:tcPr>
            <w:tcW w:w="2770" w:type="dxa"/>
            <w:shd w:val="clear" w:color="auto" w:fill="D3D3D3"/>
          </w:tcPr>
          <w:p>
            <w:pPr>
              <w:pStyle w:val="TableParagraph"/>
              <w:spacing w:before="55"/>
              <w:rPr>
                <w:sz w:val="20"/>
              </w:rPr>
            </w:pPr>
            <w:r>
              <w:rPr>
                <w:sz w:val="20"/>
              </w:rPr>
              <w:t>Current Assets (</w:t>
            </w:r>
            <w:r>
              <w:rPr>
                <w:rFonts w:ascii="MS Gothic" w:hAnsi="MS Gothic"/>
                <w:sz w:val="20"/>
              </w:rPr>
              <w:t>■</w:t>
            </w:r>
            <w:r>
              <w:rPr>
                <w:rFonts w:ascii="Times New Roman" w:hAnsi="Times New Roman"/>
                <w:spacing w:val="5"/>
                <w:sz w:val="20"/>
              </w:rPr>
              <w:t> </w:t>
            </w:r>
            <w:r>
              <w:rPr>
                <w:sz w:val="20"/>
              </w:rPr>
              <w:t>in </w:t>
            </w:r>
            <w:r>
              <w:rPr>
                <w:spacing w:val="-2"/>
                <w:sz w:val="20"/>
              </w:rPr>
              <w:t>Crores)</w:t>
            </w:r>
          </w:p>
        </w:tc>
        <w:tc>
          <w:tcPr>
            <w:tcW w:w="1274" w:type="dxa"/>
            <w:shd w:val="clear" w:color="auto" w:fill="D3D3D3"/>
          </w:tcPr>
          <w:p>
            <w:pPr>
              <w:pStyle w:val="TableParagraph"/>
              <w:ind w:left="142"/>
              <w:rPr>
                <w:sz w:val="20"/>
              </w:rPr>
            </w:pPr>
            <w:r>
              <w:rPr>
                <w:sz w:val="20"/>
              </w:rPr>
              <w:t>FY2020-</w:t>
            </w:r>
            <w:r>
              <w:rPr>
                <w:spacing w:val="-5"/>
                <w:sz w:val="20"/>
              </w:rPr>
              <w:t>21</w:t>
            </w:r>
          </w:p>
        </w:tc>
        <w:tc>
          <w:tcPr>
            <w:tcW w:w="1274" w:type="dxa"/>
            <w:shd w:val="clear" w:color="auto" w:fill="D3D3D3"/>
          </w:tcPr>
          <w:p>
            <w:pPr>
              <w:pStyle w:val="TableParagraph"/>
              <w:ind w:left="142"/>
              <w:rPr>
                <w:sz w:val="20"/>
              </w:rPr>
            </w:pPr>
            <w:r>
              <w:rPr>
                <w:sz w:val="20"/>
              </w:rPr>
              <w:t>FY2021-</w:t>
            </w:r>
            <w:r>
              <w:rPr>
                <w:spacing w:val="-5"/>
                <w:sz w:val="20"/>
              </w:rPr>
              <w:t>22</w:t>
            </w:r>
          </w:p>
        </w:tc>
        <w:tc>
          <w:tcPr>
            <w:tcW w:w="1274" w:type="dxa"/>
            <w:shd w:val="clear" w:color="auto" w:fill="D3D3D3"/>
          </w:tcPr>
          <w:p>
            <w:pPr>
              <w:pStyle w:val="TableParagraph"/>
              <w:ind w:left="142"/>
              <w:rPr>
                <w:sz w:val="20"/>
              </w:rPr>
            </w:pPr>
            <w:r>
              <w:rPr>
                <w:sz w:val="20"/>
              </w:rPr>
              <w:t>FY2022-</w:t>
            </w:r>
            <w:r>
              <w:rPr>
                <w:spacing w:val="-5"/>
                <w:sz w:val="20"/>
              </w:rPr>
              <w:t>23</w:t>
            </w:r>
          </w:p>
        </w:tc>
        <w:tc>
          <w:tcPr>
            <w:tcW w:w="1274" w:type="dxa"/>
            <w:shd w:val="clear" w:color="auto" w:fill="D3D3D3"/>
          </w:tcPr>
          <w:p>
            <w:pPr>
              <w:pStyle w:val="TableParagraph"/>
              <w:ind w:left="142"/>
              <w:rPr>
                <w:sz w:val="20"/>
              </w:rPr>
            </w:pPr>
            <w:r>
              <w:rPr>
                <w:sz w:val="20"/>
              </w:rPr>
              <w:t>FY2023-</w:t>
            </w:r>
            <w:r>
              <w:rPr>
                <w:spacing w:val="-5"/>
                <w:sz w:val="20"/>
              </w:rPr>
              <w:t>24</w:t>
            </w:r>
          </w:p>
        </w:tc>
        <w:tc>
          <w:tcPr>
            <w:tcW w:w="1274" w:type="dxa"/>
            <w:shd w:val="clear" w:color="auto" w:fill="D3D3D3"/>
          </w:tcPr>
          <w:p>
            <w:pPr>
              <w:pStyle w:val="TableParagraph"/>
              <w:ind w:left="142"/>
              <w:rPr>
                <w:sz w:val="20"/>
              </w:rPr>
            </w:pPr>
            <w:r>
              <w:rPr>
                <w:sz w:val="20"/>
              </w:rPr>
              <w:t>FY2024-</w:t>
            </w:r>
            <w:r>
              <w:rPr>
                <w:spacing w:val="-5"/>
                <w:sz w:val="20"/>
              </w:rPr>
              <w:t>25</w:t>
            </w:r>
          </w:p>
        </w:tc>
        <w:tc>
          <w:tcPr>
            <w:tcW w:w="1184" w:type="dxa"/>
            <w:shd w:val="clear" w:color="auto" w:fill="D3D3D3"/>
          </w:tcPr>
          <w:p>
            <w:pPr>
              <w:pStyle w:val="TableParagraph"/>
              <w:rPr>
                <w:sz w:val="20"/>
              </w:rPr>
            </w:pPr>
            <w:r>
              <w:rPr>
                <w:sz w:val="20"/>
              </w:rPr>
              <w:t>CAGR </w:t>
            </w:r>
            <w:r>
              <w:rPr>
                <w:spacing w:val="-5"/>
                <w:sz w:val="20"/>
              </w:rPr>
              <w:t>(%)</w:t>
            </w:r>
          </w:p>
        </w:tc>
      </w:tr>
      <w:tr>
        <w:trPr>
          <w:trHeight w:val="350" w:hRule="atLeast"/>
        </w:trPr>
        <w:tc>
          <w:tcPr>
            <w:tcW w:w="2770" w:type="dxa"/>
          </w:tcPr>
          <w:p>
            <w:pPr>
              <w:pStyle w:val="TableParagraph"/>
              <w:rPr>
                <w:sz w:val="20"/>
              </w:rPr>
            </w:pPr>
            <w:r>
              <w:rPr>
                <w:sz w:val="20"/>
              </w:rPr>
              <w:t>Cash and Cash </w:t>
            </w:r>
            <w:r>
              <w:rPr>
                <w:spacing w:val="-2"/>
                <w:sz w:val="20"/>
              </w:rPr>
              <w:t>Equivalents</w:t>
            </w:r>
          </w:p>
        </w:tc>
        <w:tc>
          <w:tcPr>
            <w:tcW w:w="1274" w:type="dxa"/>
          </w:tcPr>
          <w:p>
            <w:pPr>
              <w:pStyle w:val="TableParagraph"/>
              <w:rPr>
                <w:sz w:val="20"/>
              </w:rPr>
            </w:pPr>
            <w:r>
              <w:rPr>
                <w:spacing w:val="-2"/>
                <w:sz w:val="20"/>
              </w:rPr>
              <w:t>17,397</w:t>
            </w:r>
          </w:p>
        </w:tc>
        <w:tc>
          <w:tcPr>
            <w:tcW w:w="1274" w:type="dxa"/>
          </w:tcPr>
          <w:p>
            <w:pPr>
              <w:pStyle w:val="TableParagraph"/>
              <w:rPr>
                <w:sz w:val="20"/>
              </w:rPr>
            </w:pPr>
            <w:r>
              <w:rPr>
                <w:spacing w:val="-2"/>
                <w:sz w:val="20"/>
              </w:rPr>
              <w:t>21,714</w:t>
            </w:r>
          </w:p>
        </w:tc>
        <w:tc>
          <w:tcPr>
            <w:tcW w:w="1274" w:type="dxa"/>
          </w:tcPr>
          <w:p>
            <w:pPr>
              <w:pStyle w:val="TableParagraph"/>
              <w:rPr>
                <w:sz w:val="20"/>
              </w:rPr>
            </w:pPr>
            <w:r>
              <w:rPr>
                <w:spacing w:val="-2"/>
                <w:sz w:val="20"/>
              </w:rPr>
              <w:t>25,935</w:t>
            </w:r>
          </w:p>
        </w:tc>
        <w:tc>
          <w:tcPr>
            <w:tcW w:w="1274" w:type="dxa"/>
          </w:tcPr>
          <w:p>
            <w:pPr>
              <w:pStyle w:val="TableParagraph"/>
              <w:rPr>
                <w:sz w:val="20"/>
              </w:rPr>
            </w:pPr>
            <w:r>
              <w:rPr>
                <w:spacing w:val="-2"/>
                <w:sz w:val="20"/>
              </w:rPr>
              <w:t>31,267</w:t>
            </w:r>
          </w:p>
        </w:tc>
        <w:tc>
          <w:tcPr>
            <w:tcW w:w="1274" w:type="dxa"/>
          </w:tcPr>
          <w:p>
            <w:pPr>
              <w:pStyle w:val="TableParagraph"/>
              <w:rPr>
                <w:sz w:val="20"/>
              </w:rPr>
            </w:pPr>
            <w:r>
              <w:rPr>
                <w:spacing w:val="-2"/>
                <w:sz w:val="20"/>
              </w:rPr>
              <w:t>36,785</w:t>
            </w:r>
          </w:p>
        </w:tc>
        <w:tc>
          <w:tcPr>
            <w:tcW w:w="1184" w:type="dxa"/>
          </w:tcPr>
          <w:p>
            <w:pPr>
              <w:pStyle w:val="TableParagraph"/>
              <w:rPr>
                <w:sz w:val="20"/>
              </w:rPr>
            </w:pPr>
            <w:r>
              <w:rPr>
                <w:spacing w:val="-2"/>
                <w:sz w:val="20"/>
              </w:rPr>
              <w:t>20.6%</w:t>
            </w:r>
          </w:p>
        </w:tc>
      </w:tr>
      <w:tr>
        <w:trPr>
          <w:trHeight w:val="350" w:hRule="atLeast"/>
        </w:trPr>
        <w:tc>
          <w:tcPr>
            <w:tcW w:w="2770" w:type="dxa"/>
          </w:tcPr>
          <w:p>
            <w:pPr>
              <w:pStyle w:val="TableParagraph"/>
              <w:rPr>
                <w:sz w:val="20"/>
              </w:rPr>
            </w:pPr>
            <w:r>
              <w:rPr>
                <w:sz w:val="20"/>
              </w:rPr>
              <w:t>Short-term </w:t>
            </w:r>
            <w:r>
              <w:rPr>
                <w:spacing w:val="-2"/>
                <w:sz w:val="20"/>
              </w:rPr>
              <w:t>Investments</w:t>
            </w:r>
          </w:p>
        </w:tc>
        <w:tc>
          <w:tcPr>
            <w:tcW w:w="1274" w:type="dxa"/>
          </w:tcPr>
          <w:p>
            <w:pPr>
              <w:pStyle w:val="TableParagraph"/>
              <w:rPr>
                <w:sz w:val="20"/>
              </w:rPr>
            </w:pPr>
            <w:r>
              <w:rPr>
                <w:spacing w:val="-2"/>
                <w:sz w:val="20"/>
              </w:rPr>
              <w:t>128,761</w:t>
            </w:r>
          </w:p>
        </w:tc>
        <w:tc>
          <w:tcPr>
            <w:tcW w:w="1274" w:type="dxa"/>
          </w:tcPr>
          <w:p>
            <w:pPr>
              <w:pStyle w:val="TableParagraph"/>
              <w:rPr>
                <w:sz w:val="20"/>
              </w:rPr>
            </w:pPr>
            <w:r>
              <w:rPr>
                <w:spacing w:val="-2"/>
                <w:sz w:val="20"/>
              </w:rPr>
              <w:t>135,626</w:t>
            </w:r>
          </w:p>
        </w:tc>
        <w:tc>
          <w:tcPr>
            <w:tcW w:w="1274" w:type="dxa"/>
          </w:tcPr>
          <w:p>
            <w:pPr>
              <w:pStyle w:val="TableParagraph"/>
              <w:rPr>
                <w:sz w:val="20"/>
              </w:rPr>
            </w:pPr>
            <w:r>
              <w:rPr>
                <w:spacing w:val="-2"/>
                <w:sz w:val="20"/>
              </w:rPr>
              <w:t>140,729</w:t>
            </w:r>
          </w:p>
        </w:tc>
        <w:tc>
          <w:tcPr>
            <w:tcW w:w="1274" w:type="dxa"/>
          </w:tcPr>
          <w:p>
            <w:pPr>
              <w:pStyle w:val="TableParagraph"/>
              <w:rPr>
                <w:sz w:val="20"/>
              </w:rPr>
            </w:pPr>
            <w:r>
              <w:rPr>
                <w:spacing w:val="-2"/>
                <w:sz w:val="20"/>
              </w:rPr>
              <w:t>148,453</w:t>
            </w:r>
          </w:p>
        </w:tc>
        <w:tc>
          <w:tcPr>
            <w:tcW w:w="1274" w:type="dxa"/>
          </w:tcPr>
          <w:p>
            <w:pPr>
              <w:pStyle w:val="TableParagraph"/>
              <w:rPr>
                <w:sz w:val="20"/>
              </w:rPr>
            </w:pPr>
            <w:r>
              <w:rPr>
                <w:spacing w:val="-2"/>
                <w:sz w:val="20"/>
              </w:rPr>
              <w:t>155,642</w:t>
            </w:r>
          </w:p>
        </w:tc>
        <w:tc>
          <w:tcPr>
            <w:tcW w:w="1184" w:type="dxa"/>
          </w:tcPr>
          <w:p>
            <w:pPr>
              <w:pStyle w:val="TableParagraph"/>
              <w:rPr>
                <w:sz w:val="20"/>
              </w:rPr>
            </w:pPr>
            <w:r>
              <w:rPr>
                <w:spacing w:val="-4"/>
                <w:sz w:val="20"/>
              </w:rPr>
              <w:t>4.9%</w:t>
            </w:r>
          </w:p>
        </w:tc>
      </w:tr>
      <w:tr>
        <w:trPr>
          <w:trHeight w:val="350" w:hRule="atLeast"/>
        </w:trPr>
        <w:tc>
          <w:tcPr>
            <w:tcW w:w="2770" w:type="dxa"/>
          </w:tcPr>
          <w:p>
            <w:pPr>
              <w:pStyle w:val="TableParagraph"/>
              <w:rPr>
                <w:sz w:val="20"/>
              </w:rPr>
            </w:pPr>
            <w:r>
              <w:rPr>
                <w:sz w:val="20"/>
              </w:rPr>
              <w:t>Trade </w:t>
            </w:r>
            <w:r>
              <w:rPr>
                <w:spacing w:val="-2"/>
                <w:sz w:val="20"/>
              </w:rPr>
              <w:t>Receivables</w:t>
            </w:r>
          </w:p>
        </w:tc>
        <w:tc>
          <w:tcPr>
            <w:tcW w:w="1274" w:type="dxa"/>
          </w:tcPr>
          <w:p>
            <w:pPr>
              <w:pStyle w:val="TableParagraph"/>
              <w:rPr>
                <w:sz w:val="20"/>
              </w:rPr>
            </w:pPr>
            <w:r>
              <w:rPr>
                <w:spacing w:val="-2"/>
                <w:sz w:val="20"/>
              </w:rPr>
              <w:t>19,765</w:t>
            </w:r>
          </w:p>
        </w:tc>
        <w:tc>
          <w:tcPr>
            <w:tcW w:w="1274" w:type="dxa"/>
          </w:tcPr>
          <w:p>
            <w:pPr>
              <w:pStyle w:val="TableParagraph"/>
              <w:rPr>
                <w:sz w:val="20"/>
              </w:rPr>
            </w:pPr>
            <w:r>
              <w:rPr>
                <w:spacing w:val="-2"/>
                <w:sz w:val="20"/>
              </w:rPr>
              <w:t>21,679</w:t>
            </w:r>
          </w:p>
        </w:tc>
        <w:tc>
          <w:tcPr>
            <w:tcW w:w="1274" w:type="dxa"/>
          </w:tcPr>
          <w:p>
            <w:pPr>
              <w:pStyle w:val="TableParagraph"/>
              <w:rPr>
                <w:sz w:val="20"/>
              </w:rPr>
            </w:pPr>
            <w:r>
              <w:rPr>
                <w:spacing w:val="-2"/>
                <w:sz w:val="20"/>
              </w:rPr>
              <w:t>22,943</w:t>
            </w:r>
          </w:p>
        </w:tc>
        <w:tc>
          <w:tcPr>
            <w:tcW w:w="1274" w:type="dxa"/>
          </w:tcPr>
          <w:p>
            <w:pPr>
              <w:pStyle w:val="TableParagraph"/>
              <w:rPr>
                <w:sz w:val="20"/>
              </w:rPr>
            </w:pPr>
            <w:r>
              <w:rPr>
                <w:spacing w:val="-2"/>
                <w:sz w:val="20"/>
              </w:rPr>
              <w:t>23,145</w:t>
            </w:r>
          </w:p>
        </w:tc>
        <w:tc>
          <w:tcPr>
            <w:tcW w:w="1274" w:type="dxa"/>
          </w:tcPr>
          <w:p>
            <w:pPr>
              <w:pStyle w:val="TableParagraph"/>
              <w:rPr>
                <w:sz w:val="20"/>
              </w:rPr>
            </w:pPr>
            <w:r>
              <w:rPr>
                <w:spacing w:val="-2"/>
                <w:sz w:val="20"/>
              </w:rPr>
              <w:t>23,856</w:t>
            </w:r>
          </w:p>
        </w:tc>
        <w:tc>
          <w:tcPr>
            <w:tcW w:w="1184" w:type="dxa"/>
          </w:tcPr>
          <w:p>
            <w:pPr>
              <w:pStyle w:val="TableParagraph"/>
              <w:rPr>
                <w:sz w:val="20"/>
              </w:rPr>
            </w:pPr>
            <w:r>
              <w:rPr>
                <w:spacing w:val="-4"/>
                <w:sz w:val="20"/>
              </w:rPr>
              <w:t>4.8%</w:t>
            </w:r>
          </w:p>
        </w:tc>
      </w:tr>
      <w:tr>
        <w:trPr>
          <w:trHeight w:val="350" w:hRule="atLeast"/>
        </w:trPr>
        <w:tc>
          <w:tcPr>
            <w:tcW w:w="2770" w:type="dxa"/>
          </w:tcPr>
          <w:p>
            <w:pPr>
              <w:pStyle w:val="TableParagraph"/>
              <w:rPr>
                <w:sz w:val="20"/>
              </w:rPr>
            </w:pPr>
            <w:r>
              <w:rPr>
                <w:spacing w:val="-2"/>
                <w:sz w:val="20"/>
              </w:rPr>
              <w:t>Inventories</w:t>
            </w:r>
          </w:p>
        </w:tc>
        <w:tc>
          <w:tcPr>
            <w:tcW w:w="1274" w:type="dxa"/>
          </w:tcPr>
          <w:p>
            <w:pPr>
              <w:pStyle w:val="TableParagraph"/>
              <w:rPr>
                <w:sz w:val="20"/>
              </w:rPr>
            </w:pPr>
            <w:r>
              <w:rPr>
                <w:spacing w:val="-2"/>
                <w:sz w:val="20"/>
              </w:rPr>
              <w:t>50,287</w:t>
            </w:r>
          </w:p>
        </w:tc>
        <w:tc>
          <w:tcPr>
            <w:tcW w:w="1274" w:type="dxa"/>
          </w:tcPr>
          <w:p>
            <w:pPr>
              <w:pStyle w:val="TableParagraph"/>
              <w:rPr>
                <w:sz w:val="20"/>
              </w:rPr>
            </w:pPr>
            <w:r>
              <w:rPr>
                <w:spacing w:val="-2"/>
                <w:sz w:val="20"/>
              </w:rPr>
              <w:t>54,857</w:t>
            </w:r>
          </w:p>
        </w:tc>
        <w:tc>
          <w:tcPr>
            <w:tcW w:w="1274" w:type="dxa"/>
          </w:tcPr>
          <w:p>
            <w:pPr>
              <w:pStyle w:val="TableParagraph"/>
              <w:rPr>
                <w:sz w:val="20"/>
              </w:rPr>
            </w:pPr>
            <w:r>
              <w:rPr>
                <w:spacing w:val="-2"/>
                <w:sz w:val="20"/>
              </w:rPr>
              <w:t>57,268</w:t>
            </w:r>
          </w:p>
        </w:tc>
        <w:tc>
          <w:tcPr>
            <w:tcW w:w="1274" w:type="dxa"/>
          </w:tcPr>
          <w:p>
            <w:pPr>
              <w:pStyle w:val="TableParagraph"/>
              <w:rPr>
                <w:sz w:val="20"/>
              </w:rPr>
            </w:pPr>
            <w:r>
              <w:rPr>
                <w:spacing w:val="-2"/>
                <w:sz w:val="20"/>
              </w:rPr>
              <w:t>61,754</w:t>
            </w:r>
          </w:p>
        </w:tc>
        <w:tc>
          <w:tcPr>
            <w:tcW w:w="1274" w:type="dxa"/>
          </w:tcPr>
          <w:p>
            <w:pPr>
              <w:pStyle w:val="TableParagraph"/>
              <w:rPr>
                <w:sz w:val="20"/>
              </w:rPr>
            </w:pPr>
            <w:r>
              <w:rPr>
                <w:spacing w:val="-2"/>
                <w:sz w:val="20"/>
              </w:rPr>
              <w:t>64,327</w:t>
            </w:r>
          </w:p>
        </w:tc>
        <w:tc>
          <w:tcPr>
            <w:tcW w:w="1184" w:type="dxa"/>
          </w:tcPr>
          <w:p>
            <w:pPr>
              <w:pStyle w:val="TableParagraph"/>
              <w:rPr>
                <w:sz w:val="20"/>
              </w:rPr>
            </w:pPr>
            <w:r>
              <w:rPr>
                <w:spacing w:val="-4"/>
                <w:sz w:val="20"/>
              </w:rPr>
              <w:t>6.3%</w:t>
            </w:r>
          </w:p>
        </w:tc>
      </w:tr>
      <w:tr>
        <w:trPr>
          <w:trHeight w:val="350" w:hRule="atLeast"/>
        </w:trPr>
        <w:tc>
          <w:tcPr>
            <w:tcW w:w="2770" w:type="dxa"/>
          </w:tcPr>
          <w:p>
            <w:pPr>
              <w:pStyle w:val="TableParagraph"/>
              <w:rPr>
                <w:sz w:val="20"/>
              </w:rPr>
            </w:pPr>
            <w:r>
              <w:rPr>
                <w:sz w:val="20"/>
              </w:rPr>
              <w:t>Other Current </w:t>
            </w:r>
            <w:r>
              <w:rPr>
                <w:spacing w:val="-2"/>
                <w:sz w:val="20"/>
              </w:rPr>
              <w:t>Assets</w:t>
            </w:r>
          </w:p>
        </w:tc>
        <w:tc>
          <w:tcPr>
            <w:tcW w:w="1274" w:type="dxa"/>
          </w:tcPr>
          <w:p>
            <w:pPr>
              <w:pStyle w:val="TableParagraph"/>
              <w:rPr>
                <w:sz w:val="20"/>
              </w:rPr>
            </w:pPr>
            <w:r>
              <w:rPr>
                <w:spacing w:val="-2"/>
                <w:sz w:val="20"/>
              </w:rPr>
              <w:t>5,861</w:t>
            </w:r>
          </w:p>
        </w:tc>
        <w:tc>
          <w:tcPr>
            <w:tcW w:w="1274" w:type="dxa"/>
          </w:tcPr>
          <w:p>
            <w:pPr>
              <w:pStyle w:val="TableParagraph"/>
              <w:rPr>
                <w:sz w:val="20"/>
              </w:rPr>
            </w:pPr>
            <w:r>
              <w:rPr>
                <w:spacing w:val="-2"/>
                <w:sz w:val="20"/>
              </w:rPr>
              <w:t>6,024</w:t>
            </w:r>
          </w:p>
        </w:tc>
        <w:tc>
          <w:tcPr>
            <w:tcW w:w="1274" w:type="dxa"/>
          </w:tcPr>
          <w:p>
            <w:pPr>
              <w:pStyle w:val="TableParagraph"/>
              <w:rPr>
                <w:sz w:val="20"/>
              </w:rPr>
            </w:pPr>
            <w:r>
              <w:rPr>
                <w:spacing w:val="-2"/>
                <w:sz w:val="20"/>
              </w:rPr>
              <w:t>6,395</w:t>
            </w:r>
          </w:p>
        </w:tc>
        <w:tc>
          <w:tcPr>
            <w:tcW w:w="1274" w:type="dxa"/>
          </w:tcPr>
          <w:p>
            <w:pPr>
              <w:pStyle w:val="TableParagraph"/>
              <w:rPr>
                <w:sz w:val="20"/>
              </w:rPr>
            </w:pPr>
            <w:r>
              <w:rPr>
                <w:spacing w:val="-2"/>
                <w:sz w:val="20"/>
              </w:rPr>
              <w:t>6,512</w:t>
            </w:r>
          </w:p>
        </w:tc>
        <w:tc>
          <w:tcPr>
            <w:tcW w:w="1274" w:type="dxa"/>
          </w:tcPr>
          <w:p>
            <w:pPr>
              <w:pStyle w:val="TableParagraph"/>
              <w:rPr>
                <w:sz w:val="20"/>
              </w:rPr>
            </w:pPr>
            <w:r>
              <w:rPr>
                <w:spacing w:val="-2"/>
                <w:sz w:val="20"/>
              </w:rPr>
              <w:t>6,718</w:t>
            </w:r>
          </w:p>
        </w:tc>
        <w:tc>
          <w:tcPr>
            <w:tcW w:w="1184" w:type="dxa"/>
          </w:tcPr>
          <w:p>
            <w:pPr>
              <w:pStyle w:val="TableParagraph"/>
              <w:rPr>
                <w:sz w:val="20"/>
              </w:rPr>
            </w:pPr>
            <w:r>
              <w:rPr>
                <w:spacing w:val="-4"/>
                <w:sz w:val="20"/>
              </w:rPr>
              <w:t>3.5%</w:t>
            </w:r>
          </w:p>
        </w:tc>
      </w:tr>
      <w:tr>
        <w:trPr>
          <w:trHeight w:val="350" w:hRule="atLeast"/>
        </w:trPr>
        <w:tc>
          <w:tcPr>
            <w:tcW w:w="2770" w:type="dxa"/>
          </w:tcPr>
          <w:p>
            <w:pPr>
              <w:pStyle w:val="TableParagraph"/>
              <w:rPr>
                <w:sz w:val="20"/>
              </w:rPr>
            </w:pPr>
            <w:r>
              <w:rPr>
                <w:sz w:val="20"/>
              </w:rPr>
              <w:t>**Total Current </w:t>
            </w:r>
            <w:r>
              <w:rPr>
                <w:spacing w:val="-2"/>
                <w:sz w:val="20"/>
              </w:rPr>
              <w:t>Assets**</w:t>
            </w:r>
          </w:p>
        </w:tc>
        <w:tc>
          <w:tcPr>
            <w:tcW w:w="1274" w:type="dxa"/>
          </w:tcPr>
          <w:p>
            <w:pPr>
              <w:pStyle w:val="TableParagraph"/>
              <w:rPr>
                <w:sz w:val="20"/>
              </w:rPr>
            </w:pPr>
            <w:r>
              <w:rPr>
                <w:spacing w:val="-2"/>
                <w:sz w:val="20"/>
              </w:rPr>
              <w:t>**222,071**</w:t>
            </w:r>
          </w:p>
        </w:tc>
        <w:tc>
          <w:tcPr>
            <w:tcW w:w="1274" w:type="dxa"/>
          </w:tcPr>
          <w:p>
            <w:pPr>
              <w:pStyle w:val="TableParagraph"/>
              <w:rPr>
                <w:sz w:val="20"/>
              </w:rPr>
            </w:pPr>
            <w:r>
              <w:rPr>
                <w:spacing w:val="-2"/>
                <w:sz w:val="20"/>
              </w:rPr>
              <w:t>**239,900**</w:t>
            </w:r>
          </w:p>
        </w:tc>
        <w:tc>
          <w:tcPr>
            <w:tcW w:w="1274" w:type="dxa"/>
          </w:tcPr>
          <w:p>
            <w:pPr>
              <w:pStyle w:val="TableParagraph"/>
              <w:rPr>
                <w:sz w:val="20"/>
              </w:rPr>
            </w:pPr>
            <w:r>
              <w:rPr>
                <w:spacing w:val="-2"/>
                <w:sz w:val="20"/>
              </w:rPr>
              <w:t>**253,270**</w:t>
            </w:r>
          </w:p>
        </w:tc>
        <w:tc>
          <w:tcPr>
            <w:tcW w:w="1274" w:type="dxa"/>
          </w:tcPr>
          <w:p>
            <w:pPr>
              <w:pStyle w:val="TableParagraph"/>
              <w:rPr>
                <w:sz w:val="20"/>
              </w:rPr>
            </w:pPr>
            <w:r>
              <w:rPr>
                <w:spacing w:val="-2"/>
                <w:sz w:val="20"/>
              </w:rPr>
              <w:t>**271,131**</w:t>
            </w:r>
          </w:p>
        </w:tc>
        <w:tc>
          <w:tcPr>
            <w:tcW w:w="1274" w:type="dxa"/>
          </w:tcPr>
          <w:p>
            <w:pPr>
              <w:pStyle w:val="TableParagraph"/>
              <w:rPr>
                <w:sz w:val="20"/>
              </w:rPr>
            </w:pPr>
            <w:r>
              <w:rPr>
                <w:spacing w:val="-2"/>
                <w:sz w:val="20"/>
              </w:rPr>
              <w:t>**287,328**</w:t>
            </w:r>
          </w:p>
        </w:tc>
        <w:tc>
          <w:tcPr>
            <w:tcW w:w="1184" w:type="dxa"/>
          </w:tcPr>
          <w:p>
            <w:pPr>
              <w:pStyle w:val="TableParagraph"/>
              <w:rPr>
                <w:sz w:val="20"/>
              </w:rPr>
            </w:pPr>
            <w:r>
              <w:rPr>
                <w:spacing w:val="-2"/>
                <w:sz w:val="20"/>
              </w:rPr>
              <w:t>**6.7%**</w:t>
            </w:r>
          </w:p>
        </w:tc>
      </w:tr>
    </w:tbl>
    <w:p>
      <w:pPr>
        <w:pStyle w:val="BodyText"/>
        <w:spacing w:before="213"/>
        <w:rPr>
          <w:rFonts w:ascii="Arial"/>
          <w:b/>
        </w:rPr>
      </w:pPr>
    </w:p>
    <w:p>
      <w:pPr>
        <w:spacing w:before="1"/>
        <w:ind w:left="120" w:right="0" w:firstLine="0"/>
        <w:jc w:val="left"/>
        <w:rPr>
          <w:rFonts w:ascii="Arial"/>
          <w:i/>
          <w:sz w:val="24"/>
        </w:rPr>
      </w:pPr>
      <w:r>
        <w:rPr>
          <w:rFonts w:ascii="Arial"/>
          <w:i/>
          <w:sz w:val="24"/>
        </w:rPr>
        <w:t>Source: RIL Annual Reports FY2020-21 to FY2024-</w:t>
      </w:r>
      <w:r>
        <w:rPr>
          <w:rFonts w:ascii="Arial"/>
          <w:i/>
          <w:spacing w:val="-5"/>
          <w:sz w:val="24"/>
        </w:rPr>
        <w:t>25</w:t>
      </w:r>
    </w:p>
    <w:p>
      <w:pPr>
        <w:pStyle w:val="BodyText"/>
        <w:spacing w:before="7"/>
        <w:rPr>
          <w:rFonts w:ascii="Arial"/>
          <w:i/>
        </w:rPr>
      </w:pPr>
    </w:p>
    <w:p>
      <w:pPr>
        <w:pStyle w:val="Heading4"/>
        <w:spacing w:before="1"/>
      </w:pPr>
      <w:r>
        <w:rPr/>
        <w:t>Key </w:t>
      </w:r>
      <w:r>
        <w:rPr>
          <w:spacing w:val="-2"/>
        </w:rPr>
        <w:t>Observations:</w:t>
      </w:r>
    </w:p>
    <w:p>
      <w:pPr>
        <w:pStyle w:val="BodyText"/>
        <w:spacing w:before="46"/>
        <w:rPr>
          <w:rFonts w:ascii="Arial"/>
          <w:b/>
        </w:rPr>
      </w:pPr>
    </w:p>
    <w:p>
      <w:pPr>
        <w:pStyle w:val="ListParagraph"/>
        <w:numPr>
          <w:ilvl w:val="0"/>
          <w:numId w:val="14"/>
        </w:numPr>
        <w:tabs>
          <w:tab w:pos="386" w:val="left" w:leader="none"/>
        </w:tabs>
        <w:spacing w:line="199" w:lineRule="auto" w:before="0" w:after="0"/>
        <w:ind w:left="120" w:right="1821" w:firstLine="0"/>
        <w:jc w:val="left"/>
        <w:rPr>
          <w:sz w:val="24"/>
        </w:rPr>
      </w:pPr>
      <w:r>
        <w:rPr>
          <w:rFonts w:ascii="Arial" w:hAnsi="Arial"/>
          <w:b/>
          <w:sz w:val="24"/>
        </w:rPr>
        <w:t>Overall</w:t>
      </w:r>
      <w:r>
        <w:rPr>
          <w:rFonts w:ascii="Arial" w:hAnsi="Arial"/>
          <w:b/>
          <w:spacing w:val="-3"/>
          <w:sz w:val="24"/>
        </w:rPr>
        <w:t> </w:t>
      </w:r>
      <w:r>
        <w:rPr>
          <w:rFonts w:ascii="Arial" w:hAnsi="Arial"/>
          <w:b/>
          <w:sz w:val="24"/>
        </w:rPr>
        <w:t>Growth:</w:t>
      </w:r>
      <w:r>
        <w:rPr>
          <w:rFonts w:ascii="Arial" w:hAnsi="Arial"/>
          <w:b/>
          <w:spacing w:val="-3"/>
          <w:sz w:val="24"/>
        </w:rPr>
        <w:t> </w:t>
      </w:r>
      <w:r>
        <w:rPr>
          <w:sz w:val="24"/>
        </w:rPr>
        <w:t>Total</w:t>
      </w:r>
      <w:r>
        <w:rPr>
          <w:spacing w:val="-3"/>
          <w:sz w:val="24"/>
        </w:rPr>
        <w:t> </w:t>
      </w:r>
      <w:r>
        <w:rPr>
          <w:sz w:val="24"/>
        </w:rPr>
        <w:t>current</w:t>
      </w:r>
      <w:r>
        <w:rPr>
          <w:spacing w:val="-3"/>
          <w:sz w:val="24"/>
        </w:rPr>
        <w:t> </w:t>
      </w:r>
      <w:r>
        <w:rPr>
          <w:sz w:val="24"/>
        </w:rPr>
        <w:t>assets</w:t>
      </w:r>
      <w:r>
        <w:rPr>
          <w:spacing w:val="-3"/>
          <w:sz w:val="24"/>
        </w:rPr>
        <w:t> </w:t>
      </w:r>
      <w:r>
        <w:rPr>
          <w:sz w:val="24"/>
        </w:rPr>
        <w:t>grew</w:t>
      </w:r>
      <w:r>
        <w:rPr>
          <w:spacing w:val="-3"/>
          <w:sz w:val="24"/>
        </w:rPr>
        <w:t> </w:t>
      </w:r>
      <w:r>
        <w:rPr>
          <w:sz w:val="24"/>
        </w:rPr>
        <w:t>at</w:t>
      </w:r>
      <w:r>
        <w:rPr>
          <w:spacing w:val="-3"/>
          <w:sz w:val="24"/>
        </w:rPr>
        <w:t> </w:t>
      </w:r>
      <w:r>
        <w:rPr>
          <w:sz w:val="24"/>
        </w:rPr>
        <w:t>a</w:t>
      </w:r>
      <w:r>
        <w:rPr>
          <w:spacing w:val="-3"/>
          <w:sz w:val="24"/>
        </w:rPr>
        <w:t> </w:t>
      </w:r>
      <w:r>
        <w:rPr>
          <w:sz w:val="24"/>
        </w:rPr>
        <w:t>CAGR</w:t>
      </w:r>
      <w:r>
        <w:rPr>
          <w:spacing w:val="-3"/>
          <w:sz w:val="24"/>
        </w:rPr>
        <w:t> </w:t>
      </w:r>
      <w:r>
        <w:rPr>
          <w:sz w:val="24"/>
        </w:rPr>
        <w:t>of</w:t>
      </w:r>
      <w:r>
        <w:rPr>
          <w:spacing w:val="-3"/>
          <w:sz w:val="24"/>
        </w:rPr>
        <w:t> </w:t>
      </w:r>
      <w:r>
        <w:rPr>
          <w:sz w:val="24"/>
        </w:rPr>
        <w:t>6.7%</w:t>
      </w:r>
      <w:r>
        <w:rPr>
          <w:spacing w:val="-3"/>
          <w:sz w:val="24"/>
        </w:rPr>
        <w:t> </w:t>
      </w:r>
      <w:r>
        <w:rPr>
          <w:sz w:val="24"/>
        </w:rPr>
        <w:t>over</w:t>
      </w:r>
      <w:r>
        <w:rPr>
          <w:spacing w:val="-3"/>
          <w:sz w:val="24"/>
        </w:rPr>
        <w:t> </w:t>
      </w:r>
      <w:r>
        <w:rPr>
          <w:sz w:val="24"/>
        </w:rPr>
        <w:t>the</w:t>
      </w:r>
      <w:r>
        <w:rPr>
          <w:spacing w:val="-3"/>
          <w:sz w:val="24"/>
        </w:rPr>
        <w:t> </w:t>
      </w:r>
      <w:r>
        <w:rPr>
          <w:sz w:val="24"/>
        </w:rPr>
        <w:t>five-</w:t>
      </w:r>
      <w:r>
        <w:rPr>
          <w:sz w:val="24"/>
        </w:rPr>
        <w:t>year period, reaching </w:t>
      </w:r>
      <w:r>
        <w:rPr>
          <w:rFonts w:ascii="MS Gothic" w:hAnsi="MS Gothic"/>
          <w:sz w:val="24"/>
        </w:rPr>
        <w:t>■</w:t>
      </w:r>
      <w:r>
        <w:rPr>
          <w:sz w:val="24"/>
        </w:rPr>
        <w:t>287,328 crores in FY2024-25.</w:t>
      </w:r>
    </w:p>
    <w:p>
      <w:pPr>
        <w:pStyle w:val="BodyText"/>
        <w:spacing w:before="31"/>
      </w:pPr>
    </w:p>
    <w:p>
      <w:pPr>
        <w:pStyle w:val="ListParagraph"/>
        <w:numPr>
          <w:ilvl w:val="0"/>
          <w:numId w:val="14"/>
        </w:numPr>
        <w:tabs>
          <w:tab w:pos="386" w:val="left" w:leader="none"/>
        </w:tabs>
        <w:spacing w:line="208" w:lineRule="auto" w:before="0" w:after="0"/>
        <w:ind w:left="120" w:right="1557" w:firstLine="0"/>
        <w:jc w:val="left"/>
        <w:rPr>
          <w:sz w:val="24"/>
        </w:rPr>
      </w:pPr>
      <w:r>
        <w:rPr>
          <w:rFonts w:ascii="Arial"/>
          <w:b/>
          <w:sz w:val="24"/>
        </w:rPr>
        <w:t>Cash Position: </w:t>
      </w:r>
      <w:r>
        <w:rPr>
          <w:sz w:val="24"/>
        </w:rPr>
        <w:t>Cash and cash equivalents demonstrated the strongest growth with a CAGR of 20.6%, reflecting RIL's focus on maintaining strong liquidity. The proportion</w:t>
      </w:r>
      <w:r>
        <w:rPr>
          <w:spacing w:val="-4"/>
          <w:sz w:val="24"/>
        </w:rPr>
        <w:t> </w:t>
      </w:r>
      <w:r>
        <w:rPr>
          <w:sz w:val="24"/>
        </w:rPr>
        <w:t>of</w:t>
      </w:r>
      <w:r>
        <w:rPr>
          <w:spacing w:val="-4"/>
          <w:sz w:val="24"/>
        </w:rPr>
        <w:t> </w:t>
      </w:r>
      <w:r>
        <w:rPr>
          <w:sz w:val="24"/>
        </w:rPr>
        <w:t>cash</w:t>
      </w:r>
      <w:r>
        <w:rPr>
          <w:spacing w:val="-4"/>
          <w:sz w:val="24"/>
        </w:rPr>
        <w:t> </w:t>
      </w:r>
      <w:r>
        <w:rPr>
          <w:sz w:val="24"/>
        </w:rPr>
        <w:t>and</w:t>
      </w:r>
      <w:r>
        <w:rPr>
          <w:spacing w:val="-4"/>
          <w:sz w:val="24"/>
        </w:rPr>
        <w:t> </w:t>
      </w:r>
      <w:r>
        <w:rPr>
          <w:sz w:val="24"/>
        </w:rPr>
        <w:t>cash</w:t>
      </w:r>
      <w:r>
        <w:rPr>
          <w:spacing w:val="-4"/>
          <w:sz w:val="24"/>
        </w:rPr>
        <w:t> </w:t>
      </w:r>
      <w:r>
        <w:rPr>
          <w:sz w:val="24"/>
        </w:rPr>
        <w:t>equivalents</w:t>
      </w:r>
      <w:r>
        <w:rPr>
          <w:spacing w:val="-4"/>
          <w:sz w:val="24"/>
        </w:rPr>
        <w:t> </w:t>
      </w:r>
      <w:r>
        <w:rPr>
          <w:sz w:val="24"/>
        </w:rPr>
        <w:t>to</w:t>
      </w:r>
      <w:r>
        <w:rPr>
          <w:spacing w:val="-4"/>
          <w:sz w:val="24"/>
        </w:rPr>
        <w:t> </w:t>
      </w:r>
      <w:r>
        <w:rPr>
          <w:sz w:val="24"/>
        </w:rPr>
        <w:t>total</w:t>
      </w:r>
      <w:r>
        <w:rPr>
          <w:spacing w:val="-4"/>
          <w:sz w:val="24"/>
        </w:rPr>
        <w:t> </w:t>
      </w:r>
      <w:r>
        <w:rPr>
          <w:sz w:val="24"/>
        </w:rPr>
        <w:t>current</w:t>
      </w:r>
      <w:r>
        <w:rPr>
          <w:spacing w:val="-4"/>
          <w:sz w:val="24"/>
        </w:rPr>
        <w:t> </w:t>
      </w:r>
      <w:r>
        <w:rPr>
          <w:sz w:val="24"/>
        </w:rPr>
        <w:t>assets</w:t>
      </w:r>
      <w:r>
        <w:rPr>
          <w:spacing w:val="-4"/>
          <w:sz w:val="24"/>
        </w:rPr>
        <w:t> </w:t>
      </w:r>
      <w:r>
        <w:rPr>
          <w:sz w:val="24"/>
        </w:rPr>
        <w:t>increased</w:t>
      </w:r>
      <w:r>
        <w:rPr>
          <w:spacing w:val="-4"/>
          <w:sz w:val="24"/>
        </w:rPr>
        <w:t> </w:t>
      </w:r>
      <w:r>
        <w:rPr>
          <w:sz w:val="24"/>
        </w:rPr>
        <w:t>from</w:t>
      </w:r>
      <w:r>
        <w:rPr>
          <w:spacing w:val="-4"/>
          <w:sz w:val="24"/>
        </w:rPr>
        <w:t> </w:t>
      </w:r>
      <w:r>
        <w:rPr>
          <w:sz w:val="24"/>
        </w:rPr>
        <w:t>7.8%</w:t>
      </w:r>
      <w:r>
        <w:rPr>
          <w:spacing w:val="-4"/>
          <w:sz w:val="24"/>
        </w:rPr>
        <w:t> </w:t>
      </w:r>
      <w:r>
        <w:rPr>
          <w:sz w:val="24"/>
        </w:rPr>
        <w:t>in FY2020-21 to 12.8% in FY2024-25.</w:t>
      </w:r>
    </w:p>
    <w:p>
      <w:pPr>
        <w:pStyle w:val="BodyText"/>
        <w:spacing w:before="43"/>
      </w:pPr>
    </w:p>
    <w:p>
      <w:pPr>
        <w:pStyle w:val="ListParagraph"/>
        <w:numPr>
          <w:ilvl w:val="0"/>
          <w:numId w:val="14"/>
        </w:numPr>
        <w:tabs>
          <w:tab w:pos="386" w:val="left" w:leader="none"/>
        </w:tabs>
        <w:spacing w:line="208" w:lineRule="auto" w:before="0" w:after="0"/>
        <w:ind w:left="120" w:right="1661" w:firstLine="0"/>
        <w:jc w:val="left"/>
        <w:rPr>
          <w:sz w:val="24"/>
        </w:rPr>
      </w:pPr>
      <w:r>
        <w:rPr>
          <w:rFonts w:ascii="Arial"/>
          <w:b/>
          <w:sz w:val="24"/>
        </w:rPr>
        <w:t>Investment</w:t>
      </w:r>
      <w:r>
        <w:rPr>
          <w:rFonts w:ascii="Arial"/>
          <w:b/>
          <w:spacing w:val="-5"/>
          <w:sz w:val="24"/>
        </w:rPr>
        <w:t> </w:t>
      </w:r>
      <w:r>
        <w:rPr>
          <w:rFonts w:ascii="Arial"/>
          <w:b/>
          <w:sz w:val="24"/>
        </w:rPr>
        <w:t>Portfolio:</w:t>
      </w:r>
      <w:r>
        <w:rPr>
          <w:rFonts w:ascii="Arial"/>
          <w:b/>
          <w:spacing w:val="-5"/>
          <w:sz w:val="24"/>
        </w:rPr>
        <w:t> </w:t>
      </w:r>
      <w:r>
        <w:rPr>
          <w:sz w:val="24"/>
        </w:rPr>
        <w:t>Short-term</w:t>
      </w:r>
      <w:r>
        <w:rPr>
          <w:spacing w:val="-5"/>
          <w:sz w:val="24"/>
        </w:rPr>
        <w:t> </w:t>
      </w:r>
      <w:r>
        <w:rPr>
          <w:sz w:val="24"/>
        </w:rPr>
        <w:t>investments</w:t>
      </w:r>
      <w:r>
        <w:rPr>
          <w:spacing w:val="-5"/>
          <w:sz w:val="24"/>
        </w:rPr>
        <w:t> </w:t>
      </w:r>
      <w:r>
        <w:rPr>
          <w:sz w:val="24"/>
        </w:rPr>
        <w:t>constitute</w:t>
      </w:r>
      <w:r>
        <w:rPr>
          <w:spacing w:val="-5"/>
          <w:sz w:val="24"/>
        </w:rPr>
        <w:t> </w:t>
      </w:r>
      <w:r>
        <w:rPr>
          <w:sz w:val="24"/>
        </w:rPr>
        <w:t>the</w:t>
      </w:r>
      <w:r>
        <w:rPr>
          <w:spacing w:val="-5"/>
          <w:sz w:val="24"/>
        </w:rPr>
        <w:t> </w:t>
      </w:r>
      <w:r>
        <w:rPr>
          <w:sz w:val="24"/>
        </w:rPr>
        <w:t>largest</w:t>
      </w:r>
      <w:r>
        <w:rPr>
          <w:spacing w:val="-5"/>
          <w:sz w:val="24"/>
        </w:rPr>
        <w:t> </w:t>
      </w:r>
      <w:r>
        <w:rPr>
          <w:sz w:val="24"/>
        </w:rPr>
        <w:t>component</w:t>
      </w:r>
      <w:r>
        <w:rPr>
          <w:spacing w:val="-5"/>
          <w:sz w:val="24"/>
        </w:rPr>
        <w:t> </w:t>
      </w:r>
      <w:r>
        <w:rPr>
          <w:sz w:val="24"/>
        </w:rPr>
        <w:t>of current assets (54.2% in FY2024-25), growing at a moderate CAGR of 4.9%. This substantial investment position reflects RIL's conservative approach to managing excess liquidity.</w:t>
      </w:r>
    </w:p>
    <w:p>
      <w:pPr>
        <w:pStyle w:val="ListParagraph"/>
        <w:spacing w:after="0" w:line="208" w:lineRule="auto"/>
        <w:jc w:val="left"/>
        <w:rPr>
          <w:sz w:val="24"/>
        </w:rPr>
        <w:sectPr>
          <w:pgSz w:w="12240" w:h="15840"/>
          <w:pgMar w:top="1500" w:bottom="280" w:left="1440" w:right="0"/>
        </w:sectPr>
      </w:pPr>
    </w:p>
    <w:p>
      <w:pPr>
        <w:pStyle w:val="ListParagraph"/>
        <w:numPr>
          <w:ilvl w:val="0"/>
          <w:numId w:val="14"/>
        </w:numPr>
        <w:tabs>
          <w:tab w:pos="386" w:val="left" w:leader="none"/>
        </w:tabs>
        <w:spacing w:line="208" w:lineRule="auto" w:before="104" w:after="0"/>
        <w:ind w:left="120" w:right="1926" w:firstLine="0"/>
        <w:jc w:val="left"/>
        <w:rPr>
          <w:sz w:val="24"/>
        </w:rPr>
      </w:pPr>
      <w:r>
        <w:rPr>
          <w:rFonts w:ascii="Arial"/>
          <w:b/>
          <w:sz w:val="24"/>
        </w:rPr>
        <w:t>Receivables Management: </w:t>
      </w:r>
      <w:r>
        <w:rPr>
          <w:sz w:val="24"/>
        </w:rPr>
        <w:t>Trade receivables grew at a CAGR of 4.8%, lower than the company's revenue growth rate of 12.3% during the same period. This indicates</w:t>
      </w:r>
      <w:r>
        <w:rPr>
          <w:spacing w:val="-5"/>
          <w:sz w:val="24"/>
        </w:rPr>
        <w:t> </w:t>
      </w:r>
      <w:r>
        <w:rPr>
          <w:sz w:val="24"/>
        </w:rPr>
        <w:t>improving</w:t>
      </w:r>
      <w:r>
        <w:rPr>
          <w:spacing w:val="-5"/>
          <w:sz w:val="24"/>
        </w:rPr>
        <w:t> </w:t>
      </w:r>
      <w:r>
        <w:rPr>
          <w:sz w:val="24"/>
        </w:rPr>
        <w:t>efficiency</w:t>
      </w:r>
      <w:r>
        <w:rPr>
          <w:spacing w:val="-5"/>
          <w:sz w:val="24"/>
        </w:rPr>
        <w:t> </w:t>
      </w:r>
      <w:r>
        <w:rPr>
          <w:sz w:val="24"/>
        </w:rPr>
        <w:t>in</w:t>
      </w:r>
      <w:r>
        <w:rPr>
          <w:spacing w:val="-5"/>
          <w:sz w:val="24"/>
        </w:rPr>
        <w:t> </w:t>
      </w:r>
      <w:r>
        <w:rPr>
          <w:sz w:val="24"/>
        </w:rPr>
        <w:t>receivables</w:t>
      </w:r>
      <w:r>
        <w:rPr>
          <w:spacing w:val="-5"/>
          <w:sz w:val="24"/>
        </w:rPr>
        <w:t> </w:t>
      </w:r>
      <w:r>
        <w:rPr>
          <w:sz w:val="24"/>
        </w:rPr>
        <w:t>management</w:t>
      </w:r>
      <w:r>
        <w:rPr>
          <w:spacing w:val="-5"/>
          <w:sz w:val="24"/>
        </w:rPr>
        <w:t> </w:t>
      </w:r>
      <w:r>
        <w:rPr>
          <w:sz w:val="24"/>
        </w:rPr>
        <w:t>and</w:t>
      </w:r>
      <w:r>
        <w:rPr>
          <w:spacing w:val="-5"/>
          <w:sz w:val="24"/>
        </w:rPr>
        <w:t> </w:t>
      </w:r>
      <w:r>
        <w:rPr>
          <w:sz w:val="24"/>
        </w:rPr>
        <w:t>collection</w:t>
      </w:r>
      <w:r>
        <w:rPr>
          <w:spacing w:val="-5"/>
          <w:sz w:val="24"/>
        </w:rPr>
        <w:t> </w:t>
      </w:r>
      <w:r>
        <w:rPr>
          <w:sz w:val="24"/>
        </w:rPr>
        <w:t>practices.</w:t>
      </w:r>
    </w:p>
    <w:p>
      <w:pPr>
        <w:pStyle w:val="BodyText"/>
        <w:spacing w:before="43"/>
      </w:pPr>
    </w:p>
    <w:p>
      <w:pPr>
        <w:pStyle w:val="ListParagraph"/>
        <w:numPr>
          <w:ilvl w:val="0"/>
          <w:numId w:val="14"/>
        </w:numPr>
        <w:tabs>
          <w:tab w:pos="386" w:val="left" w:leader="none"/>
        </w:tabs>
        <w:spacing w:line="208" w:lineRule="auto" w:before="1" w:after="0"/>
        <w:ind w:left="120" w:right="1954" w:firstLine="0"/>
        <w:jc w:val="left"/>
        <w:rPr>
          <w:sz w:val="24"/>
        </w:rPr>
      </w:pPr>
      <w:r>
        <w:rPr>
          <w:rFonts w:ascii="Arial"/>
          <w:b/>
          <w:sz w:val="24"/>
        </w:rPr>
        <w:t>Inventory</w:t>
      </w:r>
      <w:r>
        <w:rPr>
          <w:rFonts w:ascii="Arial"/>
          <w:b/>
          <w:spacing w:val="-4"/>
          <w:sz w:val="24"/>
        </w:rPr>
        <w:t> </w:t>
      </w:r>
      <w:r>
        <w:rPr>
          <w:rFonts w:ascii="Arial"/>
          <w:b/>
          <w:sz w:val="24"/>
        </w:rPr>
        <w:t>Levels:</w:t>
      </w:r>
      <w:r>
        <w:rPr>
          <w:rFonts w:ascii="Arial"/>
          <w:b/>
          <w:spacing w:val="-4"/>
          <w:sz w:val="24"/>
        </w:rPr>
        <w:t> </w:t>
      </w:r>
      <w:r>
        <w:rPr>
          <w:sz w:val="24"/>
        </w:rPr>
        <w:t>Inventory</w:t>
      </w:r>
      <w:r>
        <w:rPr>
          <w:spacing w:val="-4"/>
          <w:sz w:val="24"/>
        </w:rPr>
        <w:t> </w:t>
      </w:r>
      <w:r>
        <w:rPr>
          <w:sz w:val="24"/>
        </w:rPr>
        <w:t>grew</w:t>
      </w:r>
      <w:r>
        <w:rPr>
          <w:spacing w:val="-4"/>
          <w:sz w:val="24"/>
        </w:rPr>
        <w:t> </w:t>
      </w:r>
      <w:r>
        <w:rPr>
          <w:sz w:val="24"/>
        </w:rPr>
        <w:t>at</w:t>
      </w:r>
      <w:r>
        <w:rPr>
          <w:spacing w:val="-4"/>
          <w:sz w:val="24"/>
        </w:rPr>
        <w:t> </w:t>
      </w:r>
      <w:r>
        <w:rPr>
          <w:sz w:val="24"/>
        </w:rPr>
        <w:t>a</w:t>
      </w:r>
      <w:r>
        <w:rPr>
          <w:spacing w:val="-4"/>
          <w:sz w:val="24"/>
        </w:rPr>
        <w:t> </w:t>
      </w:r>
      <w:r>
        <w:rPr>
          <w:sz w:val="24"/>
        </w:rPr>
        <w:t>CAGR</w:t>
      </w:r>
      <w:r>
        <w:rPr>
          <w:spacing w:val="-4"/>
          <w:sz w:val="24"/>
        </w:rPr>
        <w:t> </w:t>
      </w:r>
      <w:r>
        <w:rPr>
          <w:sz w:val="24"/>
        </w:rPr>
        <w:t>of</w:t>
      </w:r>
      <w:r>
        <w:rPr>
          <w:spacing w:val="-4"/>
          <w:sz w:val="24"/>
        </w:rPr>
        <w:t> </w:t>
      </w:r>
      <w:r>
        <w:rPr>
          <w:sz w:val="24"/>
        </w:rPr>
        <w:t>6.3%,</w:t>
      </w:r>
      <w:r>
        <w:rPr>
          <w:spacing w:val="-4"/>
          <w:sz w:val="24"/>
        </w:rPr>
        <w:t> </w:t>
      </w:r>
      <w:r>
        <w:rPr>
          <w:sz w:val="24"/>
        </w:rPr>
        <w:t>slightly</w:t>
      </w:r>
      <w:r>
        <w:rPr>
          <w:spacing w:val="-4"/>
          <w:sz w:val="24"/>
        </w:rPr>
        <w:t> </w:t>
      </w:r>
      <w:r>
        <w:rPr>
          <w:sz w:val="24"/>
        </w:rPr>
        <w:t>below</w:t>
      </w:r>
      <w:r>
        <w:rPr>
          <w:spacing w:val="-4"/>
          <w:sz w:val="24"/>
        </w:rPr>
        <w:t> </w:t>
      </w:r>
      <w:r>
        <w:rPr>
          <w:sz w:val="24"/>
        </w:rPr>
        <w:t>the</w:t>
      </w:r>
      <w:r>
        <w:rPr>
          <w:spacing w:val="-4"/>
          <w:sz w:val="24"/>
        </w:rPr>
        <w:t> </w:t>
      </w:r>
      <w:r>
        <w:rPr>
          <w:sz w:val="24"/>
        </w:rPr>
        <w:t>overall growth in operations. This suggests improvements in inventory management practices, particularly in the retail and petrochemicals segments.</w:t>
      </w:r>
    </w:p>
    <w:p>
      <w:pPr>
        <w:pStyle w:val="BodyText"/>
        <w:spacing w:before="43"/>
      </w:pPr>
    </w:p>
    <w:p>
      <w:pPr>
        <w:pStyle w:val="BodyText"/>
        <w:spacing w:line="208" w:lineRule="auto" w:before="0"/>
        <w:ind w:left="120" w:right="1633"/>
      </w:pPr>
      <w:r>
        <w:rPr/>
        <w:t>Figure</w:t>
      </w:r>
      <w:r>
        <w:rPr>
          <w:spacing w:val="-4"/>
        </w:rPr>
        <w:t> </w:t>
      </w:r>
      <w:r>
        <w:rPr/>
        <w:t>5.1</w:t>
      </w:r>
      <w:r>
        <w:rPr>
          <w:spacing w:val="-4"/>
        </w:rPr>
        <w:t> </w:t>
      </w:r>
      <w:r>
        <w:rPr/>
        <w:t>illustrates</w:t>
      </w:r>
      <w:r>
        <w:rPr>
          <w:spacing w:val="-4"/>
        </w:rPr>
        <w:t> </w:t>
      </w:r>
      <w:r>
        <w:rPr/>
        <w:t>the</w:t>
      </w:r>
      <w:r>
        <w:rPr>
          <w:spacing w:val="-4"/>
        </w:rPr>
        <w:t> </w:t>
      </w:r>
      <w:r>
        <w:rPr/>
        <w:t>changing</w:t>
      </w:r>
      <w:r>
        <w:rPr>
          <w:spacing w:val="-4"/>
        </w:rPr>
        <w:t> </w:t>
      </w:r>
      <w:r>
        <w:rPr/>
        <w:t>composition</w:t>
      </w:r>
      <w:r>
        <w:rPr>
          <w:spacing w:val="-4"/>
        </w:rPr>
        <w:t> </w:t>
      </w:r>
      <w:r>
        <w:rPr/>
        <w:t>of</w:t>
      </w:r>
      <w:r>
        <w:rPr>
          <w:spacing w:val="-4"/>
        </w:rPr>
        <w:t> </w:t>
      </w:r>
      <w:r>
        <w:rPr/>
        <w:t>RIL's</w:t>
      </w:r>
      <w:r>
        <w:rPr>
          <w:spacing w:val="-4"/>
        </w:rPr>
        <w:t> </w:t>
      </w:r>
      <w:r>
        <w:rPr/>
        <w:t>current</w:t>
      </w:r>
      <w:r>
        <w:rPr>
          <w:spacing w:val="-4"/>
        </w:rPr>
        <w:t> </w:t>
      </w:r>
      <w:r>
        <w:rPr/>
        <w:t>assets</w:t>
      </w:r>
      <w:r>
        <w:rPr>
          <w:spacing w:val="-4"/>
        </w:rPr>
        <w:t> </w:t>
      </w:r>
      <w:r>
        <w:rPr/>
        <w:t>over</w:t>
      </w:r>
      <w:r>
        <w:rPr>
          <w:spacing w:val="-4"/>
        </w:rPr>
        <w:t> </w:t>
      </w:r>
      <w:r>
        <w:rPr/>
        <w:t>the</w:t>
      </w:r>
      <w:r>
        <w:rPr>
          <w:spacing w:val="-4"/>
        </w:rPr>
        <w:t> </w:t>
      </w:r>
      <w:r>
        <w:rPr/>
        <w:t>study </w:t>
      </w:r>
      <w:r>
        <w:rPr>
          <w:spacing w:val="-2"/>
        </w:rPr>
        <w:t>period:</w:t>
      </w:r>
    </w:p>
    <w:p>
      <w:pPr>
        <w:pStyle w:val="BodyText"/>
        <w:spacing w:before="57"/>
      </w:pPr>
    </w:p>
    <w:p>
      <w:pPr>
        <w:pStyle w:val="Heading3"/>
        <w:ind w:left="120" w:firstLine="0"/>
      </w:pPr>
      <w:r>
        <w:rPr/>
        <w:t>Figure 5.1: Composition of Current </w:t>
      </w:r>
      <w:r>
        <w:rPr>
          <w:spacing w:val="-2"/>
        </w:rPr>
        <w:t>Assets</w:t>
      </w:r>
    </w:p>
    <w:p>
      <w:pPr>
        <w:pStyle w:val="BodyText"/>
        <w:spacing w:before="1"/>
        <w:rPr>
          <w:rFonts w:ascii="Arial"/>
          <w:b/>
          <w:i/>
          <w:sz w:val="9"/>
        </w:rPr>
      </w:pPr>
      <w:r>
        <w:rPr>
          <w:rFonts w:ascii="Arial"/>
          <w:b/>
          <w:i/>
          <w:sz w:val="9"/>
        </w:rPr>
        <w:drawing>
          <wp:anchor distT="0" distB="0" distL="0" distR="0" allowOverlap="1" layoutInCell="1" locked="0" behindDoc="1" simplePos="0" relativeHeight="487588864">
            <wp:simplePos x="0" y="0"/>
            <wp:positionH relativeFrom="page">
              <wp:posOffset>1225296</wp:posOffset>
            </wp:positionH>
            <wp:positionV relativeFrom="paragraph">
              <wp:posOffset>82105</wp:posOffset>
            </wp:positionV>
            <wp:extent cx="5327294" cy="259003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327294" cy="2590038"/>
                    </a:xfrm>
                    <a:prstGeom prst="rect">
                      <a:avLst/>
                    </a:prstGeom>
                  </pic:spPr>
                </pic:pic>
              </a:graphicData>
            </a:graphic>
          </wp:anchor>
        </w:drawing>
      </w:r>
    </w:p>
    <w:p>
      <w:pPr>
        <w:pStyle w:val="BodyText"/>
        <w:spacing w:before="108"/>
        <w:rPr>
          <w:rFonts w:ascii="Arial"/>
          <w:b/>
          <w:i/>
          <w:sz w:val="28"/>
        </w:rPr>
      </w:pPr>
    </w:p>
    <w:p>
      <w:pPr>
        <w:pStyle w:val="ListParagraph"/>
        <w:numPr>
          <w:ilvl w:val="2"/>
          <w:numId w:val="3"/>
        </w:numPr>
        <w:tabs>
          <w:tab w:pos="820" w:val="left" w:leader="none"/>
        </w:tabs>
        <w:spacing w:line="240" w:lineRule="auto" w:before="0" w:after="0"/>
        <w:ind w:left="820" w:right="0" w:hanging="700"/>
        <w:jc w:val="left"/>
        <w:rPr>
          <w:rFonts w:ascii="Arial"/>
          <w:b/>
          <w:i/>
          <w:sz w:val="28"/>
        </w:rPr>
      </w:pPr>
      <w:r>
        <w:rPr>
          <w:rFonts w:ascii="Arial"/>
          <w:b/>
          <w:i/>
          <w:sz w:val="28"/>
        </w:rPr>
        <w:t>Current Liabilities </w:t>
      </w:r>
      <w:r>
        <w:rPr>
          <w:rFonts w:ascii="Arial"/>
          <w:b/>
          <w:i/>
          <w:spacing w:val="-2"/>
          <w:sz w:val="28"/>
        </w:rPr>
        <w:t>Analysis</w:t>
      </w:r>
    </w:p>
    <w:p>
      <w:pPr>
        <w:pStyle w:val="BodyText"/>
        <w:spacing w:before="276"/>
        <w:ind w:left="120"/>
      </w:pPr>
      <w:r>
        <w:rPr/>
        <w:t>Table 5.2 presents the composition and trends of RIL's current </w:t>
      </w:r>
      <w:r>
        <w:rPr>
          <w:spacing w:val="-2"/>
        </w:rPr>
        <w:t>liabilities:</w:t>
      </w:r>
    </w:p>
    <w:p>
      <w:pPr>
        <w:pStyle w:val="BodyText"/>
        <w:spacing w:before="8"/>
      </w:pPr>
    </w:p>
    <w:p>
      <w:pPr>
        <w:pStyle w:val="Heading4"/>
      </w:pPr>
      <w:r>
        <w:rPr/>
        <w:t>Table 5.2: Composition of Current Liabilities (FY2020-21 to FY2024-</w:t>
      </w:r>
      <w:r>
        <w:rPr>
          <w:spacing w:val="-5"/>
        </w:rPr>
        <w:t>25)</w:t>
      </w:r>
    </w:p>
    <w:p>
      <w:pPr>
        <w:pStyle w:val="BodyText"/>
        <w:spacing w:before="6"/>
        <w:rPr>
          <w:rFonts w:ascii="Arial"/>
          <w:b/>
          <w:sz w:val="12"/>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3"/>
        <w:gridCol w:w="1274"/>
        <w:gridCol w:w="1274"/>
        <w:gridCol w:w="1274"/>
        <w:gridCol w:w="1274"/>
        <w:gridCol w:w="1274"/>
        <w:gridCol w:w="1184"/>
      </w:tblGrid>
      <w:tr>
        <w:trPr>
          <w:trHeight w:val="350" w:hRule="atLeast"/>
        </w:trPr>
        <w:tc>
          <w:tcPr>
            <w:tcW w:w="2993" w:type="dxa"/>
            <w:shd w:val="clear" w:color="auto" w:fill="D3D3D3"/>
          </w:tcPr>
          <w:p>
            <w:pPr>
              <w:pStyle w:val="TableParagraph"/>
              <w:spacing w:before="55"/>
              <w:rPr>
                <w:sz w:val="20"/>
              </w:rPr>
            </w:pPr>
            <w:r>
              <w:rPr>
                <w:sz w:val="20"/>
              </w:rPr>
              <w:t>Current Liabilities (</w:t>
            </w:r>
            <w:r>
              <w:rPr>
                <w:rFonts w:ascii="MS Gothic" w:hAnsi="MS Gothic"/>
                <w:sz w:val="20"/>
              </w:rPr>
              <w:t>■</w:t>
            </w:r>
            <w:r>
              <w:rPr>
                <w:rFonts w:ascii="Times New Roman" w:hAnsi="Times New Roman"/>
                <w:spacing w:val="5"/>
                <w:sz w:val="20"/>
              </w:rPr>
              <w:t> </w:t>
            </w:r>
            <w:r>
              <w:rPr>
                <w:sz w:val="20"/>
              </w:rPr>
              <w:t>in </w:t>
            </w:r>
            <w:r>
              <w:rPr>
                <w:spacing w:val="-2"/>
                <w:sz w:val="20"/>
              </w:rPr>
              <w:t>Crores)</w:t>
            </w:r>
          </w:p>
        </w:tc>
        <w:tc>
          <w:tcPr>
            <w:tcW w:w="1274" w:type="dxa"/>
            <w:shd w:val="clear" w:color="auto" w:fill="D3D3D3"/>
          </w:tcPr>
          <w:p>
            <w:pPr>
              <w:pStyle w:val="TableParagraph"/>
              <w:ind w:left="141"/>
              <w:rPr>
                <w:sz w:val="20"/>
              </w:rPr>
            </w:pPr>
            <w:r>
              <w:rPr>
                <w:sz w:val="20"/>
              </w:rPr>
              <w:t>FY2020-</w:t>
            </w:r>
            <w:r>
              <w:rPr>
                <w:spacing w:val="-5"/>
                <w:sz w:val="20"/>
              </w:rPr>
              <w:t>21</w:t>
            </w:r>
          </w:p>
        </w:tc>
        <w:tc>
          <w:tcPr>
            <w:tcW w:w="1274" w:type="dxa"/>
            <w:shd w:val="clear" w:color="auto" w:fill="D3D3D3"/>
          </w:tcPr>
          <w:p>
            <w:pPr>
              <w:pStyle w:val="TableParagraph"/>
              <w:ind w:left="141"/>
              <w:rPr>
                <w:sz w:val="20"/>
              </w:rPr>
            </w:pPr>
            <w:r>
              <w:rPr>
                <w:sz w:val="20"/>
              </w:rPr>
              <w:t>FY2021-</w:t>
            </w:r>
            <w:r>
              <w:rPr>
                <w:spacing w:val="-5"/>
                <w:sz w:val="20"/>
              </w:rPr>
              <w:t>22</w:t>
            </w:r>
          </w:p>
        </w:tc>
        <w:tc>
          <w:tcPr>
            <w:tcW w:w="1274" w:type="dxa"/>
            <w:shd w:val="clear" w:color="auto" w:fill="D3D3D3"/>
          </w:tcPr>
          <w:p>
            <w:pPr>
              <w:pStyle w:val="TableParagraph"/>
              <w:ind w:left="141"/>
              <w:rPr>
                <w:sz w:val="20"/>
              </w:rPr>
            </w:pPr>
            <w:r>
              <w:rPr>
                <w:sz w:val="20"/>
              </w:rPr>
              <w:t>FY2022-</w:t>
            </w:r>
            <w:r>
              <w:rPr>
                <w:spacing w:val="-5"/>
                <w:sz w:val="20"/>
              </w:rPr>
              <w:t>23</w:t>
            </w:r>
          </w:p>
        </w:tc>
        <w:tc>
          <w:tcPr>
            <w:tcW w:w="1274" w:type="dxa"/>
            <w:shd w:val="clear" w:color="auto" w:fill="D3D3D3"/>
          </w:tcPr>
          <w:p>
            <w:pPr>
              <w:pStyle w:val="TableParagraph"/>
              <w:ind w:left="141"/>
              <w:rPr>
                <w:sz w:val="20"/>
              </w:rPr>
            </w:pPr>
            <w:r>
              <w:rPr>
                <w:sz w:val="20"/>
              </w:rPr>
              <w:t>FY2023-</w:t>
            </w:r>
            <w:r>
              <w:rPr>
                <w:spacing w:val="-5"/>
                <w:sz w:val="20"/>
              </w:rPr>
              <w:t>24</w:t>
            </w:r>
          </w:p>
        </w:tc>
        <w:tc>
          <w:tcPr>
            <w:tcW w:w="1274" w:type="dxa"/>
            <w:shd w:val="clear" w:color="auto" w:fill="D3D3D3"/>
          </w:tcPr>
          <w:p>
            <w:pPr>
              <w:pStyle w:val="TableParagraph"/>
              <w:ind w:left="141"/>
              <w:rPr>
                <w:sz w:val="20"/>
              </w:rPr>
            </w:pPr>
            <w:r>
              <w:rPr>
                <w:sz w:val="20"/>
              </w:rPr>
              <w:t>FY2024-</w:t>
            </w:r>
            <w:r>
              <w:rPr>
                <w:spacing w:val="-5"/>
                <w:sz w:val="20"/>
              </w:rPr>
              <w:t>25</w:t>
            </w:r>
          </w:p>
        </w:tc>
        <w:tc>
          <w:tcPr>
            <w:tcW w:w="1184" w:type="dxa"/>
            <w:shd w:val="clear" w:color="auto" w:fill="D3D3D3"/>
          </w:tcPr>
          <w:p>
            <w:pPr>
              <w:pStyle w:val="TableParagraph"/>
              <w:ind w:left="119"/>
              <w:rPr>
                <w:sz w:val="20"/>
              </w:rPr>
            </w:pPr>
            <w:r>
              <w:rPr>
                <w:sz w:val="20"/>
              </w:rPr>
              <w:t>CAGR </w:t>
            </w:r>
            <w:r>
              <w:rPr>
                <w:spacing w:val="-5"/>
                <w:sz w:val="20"/>
              </w:rPr>
              <w:t>(%)</w:t>
            </w:r>
          </w:p>
        </w:tc>
      </w:tr>
      <w:tr>
        <w:trPr>
          <w:trHeight w:val="350" w:hRule="atLeast"/>
        </w:trPr>
        <w:tc>
          <w:tcPr>
            <w:tcW w:w="2993" w:type="dxa"/>
          </w:tcPr>
          <w:p>
            <w:pPr>
              <w:pStyle w:val="TableParagraph"/>
              <w:rPr>
                <w:sz w:val="20"/>
              </w:rPr>
            </w:pPr>
            <w:r>
              <w:rPr>
                <w:sz w:val="20"/>
              </w:rPr>
              <w:t>Short-term </w:t>
            </w:r>
            <w:r>
              <w:rPr>
                <w:spacing w:val="-2"/>
                <w:sz w:val="20"/>
              </w:rPr>
              <w:t>Borrowings</w:t>
            </w:r>
          </w:p>
        </w:tc>
        <w:tc>
          <w:tcPr>
            <w:tcW w:w="1274" w:type="dxa"/>
          </w:tcPr>
          <w:p>
            <w:pPr>
              <w:pStyle w:val="TableParagraph"/>
              <w:ind w:left="119"/>
              <w:rPr>
                <w:sz w:val="20"/>
              </w:rPr>
            </w:pPr>
            <w:r>
              <w:rPr>
                <w:spacing w:val="-2"/>
                <w:sz w:val="20"/>
              </w:rPr>
              <w:t>35,679</w:t>
            </w:r>
          </w:p>
        </w:tc>
        <w:tc>
          <w:tcPr>
            <w:tcW w:w="1274" w:type="dxa"/>
          </w:tcPr>
          <w:p>
            <w:pPr>
              <w:pStyle w:val="TableParagraph"/>
              <w:ind w:left="119"/>
              <w:rPr>
                <w:sz w:val="20"/>
              </w:rPr>
            </w:pPr>
            <w:r>
              <w:rPr>
                <w:spacing w:val="-2"/>
                <w:sz w:val="20"/>
              </w:rPr>
              <w:t>38,223</w:t>
            </w:r>
          </w:p>
        </w:tc>
        <w:tc>
          <w:tcPr>
            <w:tcW w:w="1274" w:type="dxa"/>
          </w:tcPr>
          <w:p>
            <w:pPr>
              <w:pStyle w:val="TableParagraph"/>
              <w:ind w:left="119"/>
              <w:rPr>
                <w:sz w:val="20"/>
              </w:rPr>
            </w:pPr>
            <w:r>
              <w:rPr>
                <w:spacing w:val="-2"/>
                <w:sz w:val="20"/>
              </w:rPr>
              <w:t>39,845</w:t>
            </w:r>
          </w:p>
        </w:tc>
        <w:tc>
          <w:tcPr>
            <w:tcW w:w="1274" w:type="dxa"/>
          </w:tcPr>
          <w:p>
            <w:pPr>
              <w:pStyle w:val="TableParagraph"/>
              <w:ind w:left="119"/>
              <w:rPr>
                <w:sz w:val="20"/>
              </w:rPr>
            </w:pPr>
            <w:r>
              <w:rPr>
                <w:spacing w:val="-2"/>
                <w:sz w:val="20"/>
              </w:rPr>
              <w:t>41,324</w:t>
            </w:r>
          </w:p>
        </w:tc>
        <w:tc>
          <w:tcPr>
            <w:tcW w:w="1274" w:type="dxa"/>
          </w:tcPr>
          <w:p>
            <w:pPr>
              <w:pStyle w:val="TableParagraph"/>
              <w:ind w:left="119"/>
              <w:rPr>
                <w:sz w:val="20"/>
              </w:rPr>
            </w:pPr>
            <w:r>
              <w:rPr>
                <w:spacing w:val="-2"/>
                <w:sz w:val="20"/>
              </w:rPr>
              <w:t>42,634</w:t>
            </w:r>
          </w:p>
        </w:tc>
        <w:tc>
          <w:tcPr>
            <w:tcW w:w="1184" w:type="dxa"/>
          </w:tcPr>
          <w:p>
            <w:pPr>
              <w:pStyle w:val="TableParagraph"/>
              <w:ind w:left="119"/>
              <w:rPr>
                <w:sz w:val="20"/>
              </w:rPr>
            </w:pPr>
            <w:r>
              <w:rPr>
                <w:spacing w:val="-4"/>
                <w:sz w:val="20"/>
              </w:rPr>
              <w:t>4.6%</w:t>
            </w:r>
          </w:p>
        </w:tc>
      </w:tr>
      <w:tr>
        <w:trPr>
          <w:trHeight w:val="350" w:hRule="atLeast"/>
        </w:trPr>
        <w:tc>
          <w:tcPr>
            <w:tcW w:w="2993" w:type="dxa"/>
          </w:tcPr>
          <w:p>
            <w:pPr>
              <w:pStyle w:val="TableParagraph"/>
              <w:rPr>
                <w:sz w:val="20"/>
              </w:rPr>
            </w:pPr>
            <w:r>
              <w:rPr>
                <w:sz w:val="20"/>
              </w:rPr>
              <w:t>Trade </w:t>
            </w:r>
            <w:r>
              <w:rPr>
                <w:spacing w:val="-2"/>
                <w:sz w:val="20"/>
              </w:rPr>
              <w:t>Payables</w:t>
            </w:r>
          </w:p>
        </w:tc>
        <w:tc>
          <w:tcPr>
            <w:tcW w:w="1274" w:type="dxa"/>
          </w:tcPr>
          <w:p>
            <w:pPr>
              <w:pStyle w:val="TableParagraph"/>
              <w:ind w:left="119"/>
              <w:rPr>
                <w:sz w:val="20"/>
              </w:rPr>
            </w:pPr>
            <w:r>
              <w:rPr>
                <w:spacing w:val="-2"/>
                <w:sz w:val="20"/>
              </w:rPr>
              <w:t>74,625</w:t>
            </w:r>
          </w:p>
        </w:tc>
        <w:tc>
          <w:tcPr>
            <w:tcW w:w="1274" w:type="dxa"/>
          </w:tcPr>
          <w:p>
            <w:pPr>
              <w:pStyle w:val="TableParagraph"/>
              <w:ind w:left="119"/>
              <w:rPr>
                <w:sz w:val="20"/>
              </w:rPr>
            </w:pPr>
            <w:r>
              <w:rPr>
                <w:spacing w:val="-2"/>
                <w:sz w:val="20"/>
              </w:rPr>
              <w:t>80,756</w:t>
            </w:r>
          </w:p>
        </w:tc>
        <w:tc>
          <w:tcPr>
            <w:tcW w:w="1274" w:type="dxa"/>
          </w:tcPr>
          <w:p>
            <w:pPr>
              <w:pStyle w:val="TableParagraph"/>
              <w:ind w:left="119"/>
              <w:rPr>
                <w:sz w:val="20"/>
              </w:rPr>
            </w:pPr>
            <w:r>
              <w:rPr>
                <w:spacing w:val="-2"/>
                <w:sz w:val="20"/>
              </w:rPr>
              <w:t>86,457</w:t>
            </w:r>
          </w:p>
        </w:tc>
        <w:tc>
          <w:tcPr>
            <w:tcW w:w="1274" w:type="dxa"/>
          </w:tcPr>
          <w:p>
            <w:pPr>
              <w:pStyle w:val="TableParagraph"/>
              <w:ind w:left="119"/>
              <w:rPr>
                <w:sz w:val="20"/>
              </w:rPr>
            </w:pPr>
            <w:r>
              <w:rPr>
                <w:spacing w:val="-2"/>
                <w:sz w:val="20"/>
              </w:rPr>
              <w:t>92,845</w:t>
            </w:r>
          </w:p>
        </w:tc>
        <w:tc>
          <w:tcPr>
            <w:tcW w:w="1274" w:type="dxa"/>
          </w:tcPr>
          <w:p>
            <w:pPr>
              <w:pStyle w:val="TableParagraph"/>
              <w:ind w:left="119"/>
              <w:rPr>
                <w:sz w:val="20"/>
              </w:rPr>
            </w:pPr>
            <w:r>
              <w:rPr>
                <w:spacing w:val="-2"/>
                <w:sz w:val="20"/>
              </w:rPr>
              <w:t>98,752</w:t>
            </w:r>
          </w:p>
        </w:tc>
        <w:tc>
          <w:tcPr>
            <w:tcW w:w="1184" w:type="dxa"/>
          </w:tcPr>
          <w:p>
            <w:pPr>
              <w:pStyle w:val="TableParagraph"/>
              <w:ind w:left="119"/>
              <w:rPr>
                <w:sz w:val="20"/>
              </w:rPr>
            </w:pPr>
            <w:r>
              <w:rPr>
                <w:spacing w:val="-4"/>
                <w:sz w:val="20"/>
              </w:rPr>
              <w:t>7.3%</w:t>
            </w:r>
          </w:p>
        </w:tc>
      </w:tr>
      <w:tr>
        <w:trPr>
          <w:trHeight w:val="350" w:hRule="atLeast"/>
        </w:trPr>
        <w:tc>
          <w:tcPr>
            <w:tcW w:w="2993" w:type="dxa"/>
          </w:tcPr>
          <w:p>
            <w:pPr>
              <w:pStyle w:val="TableParagraph"/>
              <w:rPr>
                <w:sz w:val="20"/>
              </w:rPr>
            </w:pPr>
            <w:r>
              <w:rPr>
                <w:sz w:val="20"/>
              </w:rPr>
              <w:t>Other Current </w:t>
            </w:r>
            <w:r>
              <w:rPr>
                <w:spacing w:val="-2"/>
                <w:sz w:val="20"/>
              </w:rPr>
              <w:t>Liabilities</w:t>
            </w:r>
          </w:p>
        </w:tc>
        <w:tc>
          <w:tcPr>
            <w:tcW w:w="1274" w:type="dxa"/>
          </w:tcPr>
          <w:p>
            <w:pPr>
              <w:pStyle w:val="TableParagraph"/>
              <w:ind w:left="119"/>
              <w:rPr>
                <w:sz w:val="20"/>
              </w:rPr>
            </w:pPr>
            <w:r>
              <w:rPr>
                <w:spacing w:val="-2"/>
                <w:sz w:val="20"/>
              </w:rPr>
              <w:t>31,564</w:t>
            </w:r>
          </w:p>
        </w:tc>
        <w:tc>
          <w:tcPr>
            <w:tcW w:w="1274" w:type="dxa"/>
          </w:tcPr>
          <w:p>
            <w:pPr>
              <w:pStyle w:val="TableParagraph"/>
              <w:ind w:left="119"/>
              <w:rPr>
                <w:sz w:val="20"/>
              </w:rPr>
            </w:pPr>
            <w:r>
              <w:rPr>
                <w:spacing w:val="-2"/>
                <w:sz w:val="20"/>
              </w:rPr>
              <w:t>33,782</w:t>
            </w:r>
          </w:p>
        </w:tc>
        <w:tc>
          <w:tcPr>
            <w:tcW w:w="1274" w:type="dxa"/>
          </w:tcPr>
          <w:p>
            <w:pPr>
              <w:pStyle w:val="TableParagraph"/>
              <w:ind w:left="119"/>
              <w:rPr>
                <w:sz w:val="20"/>
              </w:rPr>
            </w:pPr>
            <w:r>
              <w:rPr>
                <w:spacing w:val="-2"/>
                <w:sz w:val="20"/>
              </w:rPr>
              <w:t>35,467</w:t>
            </w:r>
          </w:p>
        </w:tc>
        <w:tc>
          <w:tcPr>
            <w:tcW w:w="1274" w:type="dxa"/>
          </w:tcPr>
          <w:p>
            <w:pPr>
              <w:pStyle w:val="TableParagraph"/>
              <w:ind w:left="119"/>
              <w:rPr>
                <w:sz w:val="20"/>
              </w:rPr>
            </w:pPr>
            <w:r>
              <w:rPr>
                <w:spacing w:val="-2"/>
                <w:sz w:val="20"/>
              </w:rPr>
              <w:t>37,925</w:t>
            </w:r>
          </w:p>
        </w:tc>
        <w:tc>
          <w:tcPr>
            <w:tcW w:w="1274" w:type="dxa"/>
          </w:tcPr>
          <w:p>
            <w:pPr>
              <w:pStyle w:val="TableParagraph"/>
              <w:ind w:left="119"/>
              <w:rPr>
                <w:sz w:val="20"/>
              </w:rPr>
            </w:pPr>
            <w:r>
              <w:rPr>
                <w:spacing w:val="-2"/>
                <w:sz w:val="20"/>
              </w:rPr>
              <w:t>39,865</w:t>
            </w:r>
          </w:p>
        </w:tc>
        <w:tc>
          <w:tcPr>
            <w:tcW w:w="1184" w:type="dxa"/>
          </w:tcPr>
          <w:p>
            <w:pPr>
              <w:pStyle w:val="TableParagraph"/>
              <w:ind w:left="119"/>
              <w:rPr>
                <w:sz w:val="20"/>
              </w:rPr>
            </w:pPr>
            <w:r>
              <w:rPr>
                <w:spacing w:val="-4"/>
                <w:sz w:val="20"/>
              </w:rPr>
              <w:t>6.0%</w:t>
            </w:r>
          </w:p>
        </w:tc>
      </w:tr>
      <w:tr>
        <w:trPr>
          <w:trHeight w:val="350" w:hRule="atLeast"/>
        </w:trPr>
        <w:tc>
          <w:tcPr>
            <w:tcW w:w="2993" w:type="dxa"/>
          </w:tcPr>
          <w:p>
            <w:pPr>
              <w:pStyle w:val="TableParagraph"/>
              <w:rPr>
                <w:sz w:val="20"/>
              </w:rPr>
            </w:pPr>
            <w:r>
              <w:rPr>
                <w:sz w:val="20"/>
              </w:rPr>
              <w:t>**Total Current </w:t>
            </w:r>
            <w:r>
              <w:rPr>
                <w:spacing w:val="-2"/>
                <w:sz w:val="20"/>
              </w:rPr>
              <w:t>Liabilities**</w:t>
            </w:r>
          </w:p>
        </w:tc>
        <w:tc>
          <w:tcPr>
            <w:tcW w:w="1274" w:type="dxa"/>
          </w:tcPr>
          <w:p>
            <w:pPr>
              <w:pStyle w:val="TableParagraph"/>
              <w:ind w:left="119"/>
              <w:rPr>
                <w:sz w:val="20"/>
              </w:rPr>
            </w:pPr>
            <w:r>
              <w:rPr>
                <w:spacing w:val="-2"/>
                <w:sz w:val="20"/>
              </w:rPr>
              <w:t>**141,868**</w:t>
            </w:r>
          </w:p>
        </w:tc>
        <w:tc>
          <w:tcPr>
            <w:tcW w:w="1274" w:type="dxa"/>
          </w:tcPr>
          <w:p>
            <w:pPr>
              <w:pStyle w:val="TableParagraph"/>
              <w:ind w:left="119"/>
              <w:rPr>
                <w:sz w:val="20"/>
              </w:rPr>
            </w:pPr>
            <w:r>
              <w:rPr>
                <w:spacing w:val="-2"/>
                <w:sz w:val="20"/>
              </w:rPr>
              <w:t>**152,761**</w:t>
            </w:r>
          </w:p>
        </w:tc>
        <w:tc>
          <w:tcPr>
            <w:tcW w:w="1274" w:type="dxa"/>
          </w:tcPr>
          <w:p>
            <w:pPr>
              <w:pStyle w:val="TableParagraph"/>
              <w:ind w:left="119"/>
              <w:rPr>
                <w:sz w:val="20"/>
              </w:rPr>
            </w:pPr>
            <w:r>
              <w:rPr>
                <w:spacing w:val="-2"/>
                <w:sz w:val="20"/>
              </w:rPr>
              <w:t>**161,769**</w:t>
            </w:r>
          </w:p>
        </w:tc>
        <w:tc>
          <w:tcPr>
            <w:tcW w:w="1274" w:type="dxa"/>
          </w:tcPr>
          <w:p>
            <w:pPr>
              <w:pStyle w:val="TableParagraph"/>
              <w:ind w:left="119"/>
              <w:rPr>
                <w:sz w:val="20"/>
              </w:rPr>
            </w:pPr>
            <w:r>
              <w:rPr>
                <w:spacing w:val="-2"/>
                <w:sz w:val="20"/>
              </w:rPr>
              <w:t>**172,094**</w:t>
            </w:r>
          </w:p>
        </w:tc>
        <w:tc>
          <w:tcPr>
            <w:tcW w:w="1274" w:type="dxa"/>
          </w:tcPr>
          <w:p>
            <w:pPr>
              <w:pStyle w:val="TableParagraph"/>
              <w:ind w:left="119"/>
              <w:rPr>
                <w:sz w:val="20"/>
              </w:rPr>
            </w:pPr>
            <w:r>
              <w:rPr>
                <w:spacing w:val="-2"/>
                <w:sz w:val="20"/>
              </w:rPr>
              <w:t>**181,251**</w:t>
            </w:r>
          </w:p>
        </w:tc>
        <w:tc>
          <w:tcPr>
            <w:tcW w:w="1184" w:type="dxa"/>
          </w:tcPr>
          <w:p>
            <w:pPr>
              <w:pStyle w:val="TableParagraph"/>
              <w:ind w:left="119"/>
              <w:rPr>
                <w:sz w:val="20"/>
              </w:rPr>
            </w:pPr>
            <w:r>
              <w:rPr>
                <w:spacing w:val="-2"/>
                <w:sz w:val="20"/>
              </w:rPr>
              <w:t>**6.3%**</w:t>
            </w:r>
          </w:p>
        </w:tc>
      </w:tr>
    </w:tbl>
    <w:p>
      <w:pPr>
        <w:pStyle w:val="BodyText"/>
        <w:spacing w:before="213"/>
        <w:rPr>
          <w:rFonts w:ascii="Arial"/>
          <w:b/>
        </w:rPr>
      </w:pPr>
    </w:p>
    <w:p>
      <w:pPr>
        <w:spacing w:before="1"/>
        <w:ind w:left="120" w:right="0" w:firstLine="0"/>
        <w:jc w:val="left"/>
        <w:rPr>
          <w:rFonts w:ascii="Arial"/>
          <w:i/>
          <w:sz w:val="24"/>
        </w:rPr>
      </w:pPr>
      <w:r>
        <w:rPr>
          <w:rFonts w:ascii="Arial"/>
          <w:i/>
          <w:sz w:val="24"/>
        </w:rPr>
        <w:t>Source: RIL Annual Reports FY2020-21 to FY2024-</w:t>
      </w:r>
      <w:r>
        <w:rPr>
          <w:rFonts w:ascii="Arial"/>
          <w:i/>
          <w:spacing w:val="-5"/>
          <w:sz w:val="24"/>
        </w:rPr>
        <w:t>25</w:t>
      </w:r>
    </w:p>
    <w:p>
      <w:pPr>
        <w:pStyle w:val="BodyText"/>
        <w:spacing w:before="7"/>
        <w:rPr>
          <w:rFonts w:ascii="Arial"/>
          <w:i/>
        </w:rPr>
      </w:pPr>
    </w:p>
    <w:p>
      <w:pPr>
        <w:pStyle w:val="Heading4"/>
        <w:spacing w:before="1"/>
      </w:pPr>
      <w:r>
        <w:rPr/>
        <w:t>Key </w:t>
      </w:r>
      <w:r>
        <w:rPr>
          <w:spacing w:val="-2"/>
        </w:rPr>
        <w:t>Observations:</w:t>
      </w:r>
    </w:p>
    <w:p>
      <w:pPr>
        <w:pStyle w:val="Heading4"/>
        <w:spacing w:after="0"/>
        <w:sectPr>
          <w:pgSz w:w="12240" w:h="15840"/>
          <w:pgMar w:top="1500" w:bottom="280" w:left="1440" w:right="0"/>
        </w:sectPr>
      </w:pPr>
    </w:p>
    <w:p>
      <w:pPr>
        <w:pStyle w:val="ListParagraph"/>
        <w:numPr>
          <w:ilvl w:val="0"/>
          <w:numId w:val="15"/>
        </w:numPr>
        <w:tabs>
          <w:tab w:pos="386" w:val="left" w:leader="none"/>
        </w:tabs>
        <w:spacing w:line="208" w:lineRule="auto" w:before="104" w:after="0"/>
        <w:ind w:left="120" w:right="1641" w:firstLine="0"/>
        <w:jc w:val="left"/>
        <w:rPr>
          <w:sz w:val="24"/>
        </w:rPr>
      </w:pPr>
      <w:r>
        <w:rPr>
          <w:rFonts w:ascii="Arial"/>
          <w:b/>
          <w:sz w:val="24"/>
        </w:rPr>
        <w:t>Overall Growth: </w:t>
      </w:r>
      <w:r>
        <w:rPr>
          <w:sz w:val="24"/>
        </w:rPr>
        <w:t>Total current liabilities grew at a CAGR of 6.3%, slightly lower than</w:t>
      </w:r>
      <w:r>
        <w:rPr>
          <w:spacing w:val="-3"/>
          <w:sz w:val="24"/>
        </w:rPr>
        <w:t> </w:t>
      </w:r>
      <w:r>
        <w:rPr>
          <w:sz w:val="24"/>
        </w:rPr>
        <w:t>the</w:t>
      </w:r>
      <w:r>
        <w:rPr>
          <w:spacing w:val="-3"/>
          <w:sz w:val="24"/>
        </w:rPr>
        <w:t> </w:t>
      </w:r>
      <w:r>
        <w:rPr>
          <w:sz w:val="24"/>
        </w:rPr>
        <w:t>growth</w:t>
      </w:r>
      <w:r>
        <w:rPr>
          <w:spacing w:val="-3"/>
          <w:sz w:val="24"/>
        </w:rPr>
        <w:t> </w:t>
      </w:r>
      <w:r>
        <w:rPr>
          <w:sz w:val="24"/>
        </w:rPr>
        <w:t>rate</w:t>
      </w:r>
      <w:r>
        <w:rPr>
          <w:spacing w:val="-3"/>
          <w:sz w:val="24"/>
        </w:rPr>
        <w:t> </w:t>
      </w:r>
      <w:r>
        <w:rPr>
          <w:sz w:val="24"/>
        </w:rPr>
        <w:t>of</w:t>
      </w:r>
      <w:r>
        <w:rPr>
          <w:spacing w:val="-3"/>
          <w:sz w:val="24"/>
        </w:rPr>
        <w:t> </w:t>
      </w:r>
      <w:r>
        <w:rPr>
          <w:sz w:val="24"/>
        </w:rPr>
        <w:t>current</w:t>
      </w:r>
      <w:r>
        <w:rPr>
          <w:spacing w:val="-3"/>
          <w:sz w:val="24"/>
        </w:rPr>
        <w:t> </w:t>
      </w:r>
      <w:r>
        <w:rPr>
          <w:sz w:val="24"/>
        </w:rPr>
        <w:t>assets</w:t>
      </w:r>
      <w:r>
        <w:rPr>
          <w:spacing w:val="-3"/>
          <w:sz w:val="24"/>
        </w:rPr>
        <w:t> </w:t>
      </w:r>
      <w:r>
        <w:rPr>
          <w:sz w:val="24"/>
        </w:rPr>
        <w:t>(6.7%),</w:t>
      </w:r>
      <w:r>
        <w:rPr>
          <w:spacing w:val="-3"/>
          <w:sz w:val="24"/>
        </w:rPr>
        <w:t> </w:t>
      </w:r>
      <w:r>
        <w:rPr>
          <w:sz w:val="24"/>
        </w:rPr>
        <w:t>contributing</w:t>
      </w:r>
      <w:r>
        <w:rPr>
          <w:spacing w:val="-3"/>
          <w:sz w:val="24"/>
        </w:rPr>
        <w:t> </w:t>
      </w:r>
      <w:r>
        <w:rPr>
          <w:sz w:val="24"/>
        </w:rPr>
        <w:t>to</w:t>
      </w:r>
      <w:r>
        <w:rPr>
          <w:spacing w:val="-3"/>
          <w:sz w:val="24"/>
        </w:rPr>
        <w:t> </w:t>
      </w:r>
      <w:r>
        <w:rPr>
          <w:sz w:val="24"/>
        </w:rPr>
        <w:t>an</w:t>
      </w:r>
      <w:r>
        <w:rPr>
          <w:spacing w:val="-3"/>
          <w:sz w:val="24"/>
        </w:rPr>
        <w:t> </w:t>
      </w:r>
      <w:r>
        <w:rPr>
          <w:sz w:val="24"/>
        </w:rPr>
        <w:t>improvement</w:t>
      </w:r>
      <w:r>
        <w:rPr>
          <w:spacing w:val="-3"/>
          <w:sz w:val="24"/>
        </w:rPr>
        <w:t> </w:t>
      </w:r>
      <w:r>
        <w:rPr>
          <w:sz w:val="24"/>
        </w:rPr>
        <w:t>in</w:t>
      </w:r>
      <w:r>
        <w:rPr>
          <w:spacing w:val="-3"/>
          <w:sz w:val="24"/>
        </w:rPr>
        <w:t> </w:t>
      </w:r>
      <w:r>
        <w:rPr>
          <w:sz w:val="24"/>
        </w:rPr>
        <w:t>RIL's net working capital position.</w:t>
      </w:r>
    </w:p>
    <w:p>
      <w:pPr>
        <w:pStyle w:val="BodyText"/>
        <w:spacing w:before="43"/>
      </w:pPr>
    </w:p>
    <w:p>
      <w:pPr>
        <w:pStyle w:val="ListParagraph"/>
        <w:numPr>
          <w:ilvl w:val="0"/>
          <w:numId w:val="15"/>
        </w:numPr>
        <w:tabs>
          <w:tab w:pos="386" w:val="left" w:leader="none"/>
        </w:tabs>
        <w:spacing w:line="208" w:lineRule="auto" w:before="1" w:after="0"/>
        <w:ind w:left="120" w:right="1557" w:firstLine="0"/>
        <w:jc w:val="left"/>
        <w:rPr>
          <w:sz w:val="24"/>
        </w:rPr>
      </w:pPr>
      <w:r>
        <w:rPr>
          <w:rFonts w:ascii="Arial"/>
          <w:b/>
          <w:sz w:val="24"/>
        </w:rPr>
        <w:t>Trade Payables: </w:t>
      </w:r>
      <w:r>
        <w:rPr>
          <w:sz w:val="24"/>
        </w:rPr>
        <w:t>Trade payables constitute the largest component of current liabilities (54.5% in FY2024-25) and demonstrated the strongest growth with a CAGR of</w:t>
      </w:r>
      <w:r>
        <w:rPr>
          <w:spacing w:val="-5"/>
          <w:sz w:val="24"/>
        </w:rPr>
        <w:t> </w:t>
      </w:r>
      <w:r>
        <w:rPr>
          <w:sz w:val="24"/>
        </w:rPr>
        <w:t>7.3%.</w:t>
      </w:r>
      <w:r>
        <w:rPr>
          <w:spacing w:val="-5"/>
          <w:sz w:val="24"/>
        </w:rPr>
        <w:t> </w:t>
      </w:r>
      <w:r>
        <w:rPr>
          <w:sz w:val="24"/>
        </w:rPr>
        <w:t>This</w:t>
      </w:r>
      <w:r>
        <w:rPr>
          <w:spacing w:val="-5"/>
          <w:sz w:val="24"/>
        </w:rPr>
        <w:t> </w:t>
      </w:r>
      <w:r>
        <w:rPr>
          <w:sz w:val="24"/>
        </w:rPr>
        <w:t>suggests</w:t>
      </w:r>
      <w:r>
        <w:rPr>
          <w:spacing w:val="-5"/>
          <w:sz w:val="24"/>
        </w:rPr>
        <w:t> </w:t>
      </w:r>
      <w:r>
        <w:rPr>
          <w:sz w:val="24"/>
        </w:rPr>
        <w:t>that</w:t>
      </w:r>
      <w:r>
        <w:rPr>
          <w:spacing w:val="-5"/>
          <w:sz w:val="24"/>
        </w:rPr>
        <w:t> </w:t>
      </w:r>
      <w:r>
        <w:rPr>
          <w:sz w:val="24"/>
        </w:rPr>
        <w:t>RIL</w:t>
      </w:r>
      <w:r>
        <w:rPr>
          <w:spacing w:val="-5"/>
          <w:sz w:val="24"/>
        </w:rPr>
        <w:t> </w:t>
      </w:r>
      <w:r>
        <w:rPr>
          <w:sz w:val="24"/>
        </w:rPr>
        <w:t>has</w:t>
      </w:r>
      <w:r>
        <w:rPr>
          <w:spacing w:val="-5"/>
          <w:sz w:val="24"/>
        </w:rPr>
        <w:t> </w:t>
      </w:r>
      <w:r>
        <w:rPr>
          <w:sz w:val="24"/>
        </w:rPr>
        <w:t>effectively</w:t>
      </w:r>
      <w:r>
        <w:rPr>
          <w:spacing w:val="-5"/>
          <w:sz w:val="24"/>
        </w:rPr>
        <w:t> </w:t>
      </w:r>
      <w:r>
        <w:rPr>
          <w:sz w:val="24"/>
        </w:rPr>
        <w:t>leveraged</w:t>
      </w:r>
      <w:r>
        <w:rPr>
          <w:spacing w:val="-5"/>
          <w:sz w:val="24"/>
        </w:rPr>
        <w:t> </w:t>
      </w:r>
      <w:r>
        <w:rPr>
          <w:sz w:val="24"/>
        </w:rPr>
        <w:t>its</w:t>
      </w:r>
      <w:r>
        <w:rPr>
          <w:spacing w:val="-5"/>
          <w:sz w:val="24"/>
        </w:rPr>
        <w:t> </w:t>
      </w:r>
      <w:r>
        <w:rPr>
          <w:sz w:val="24"/>
        </w:rPr>
        <w:t>scale</w:t>
      </w:r>
      <w:r>
        <w:rPr>
          <w:spacing w:val="-5"/>
          <w:sz w:val="24"/>
        </w:rPr>
        <w:t> </w:t>
      </w:r>
      <w:r>
        <w:rPr>
          <w:sz w:val="24"/>
        </w:rPr>
        <w:t>and</w:t>
      </w:r>
      <w:r>
        <w:rPr>
          <w:spacing w:val="-5"/>
          <w:sz w:val="24"/>
        </w:rPr>
        <w:t> </w:t>
      </w:r>
      <w:r>
        <w:rPr>
          <w:sz w:val="24"/>
        </w:rPr>
        <w:t>market</w:t>
      </w:r>
      <w:r>
        <w:rPr>
          <w:spacing w:val="-5"/>
          <w:sz w:val="24"/>
        </w:rPr>
        <w:t> </w:t>
      </w:r>
      <w:r>
        <w:rPr>
          <w:sz w:val="24"/>
        </w:rPr>
        <w:t>position to negotiate favorable payment terms with suppliers.</w:t>
      </w:r>
    </w:p>
    <w:p>
      <w:pPr>
        <w:pStyle w:val="BodyText"/>
        <w:spacing w:before="43"/>
      </w:pPr>
    </w:p>
    <w:p>
      <w:pPr>
        <w:pStyle w:val="ListParagraph"/>
        <w:numPr>
          <w:ilvl w:val="0"/>
          <w:numId w:val="15"/>
        </w:numPr>
        <w:tabs>
          <w:tab w:pos="386" w:val="left" w:leader="none"/>
        </w:tabs>
        <w:spacing w:line="208" w:lineRule="auto" w:before="0" w:after="0"/>
        <w:ind w:left="120" w:right="1780" w:firstLine="0"/>
        <w:jc w:val="left"/>
        <w:rPr>
          <w:sz w:val="24"/>
        </w:rPr>
      </w:pPr>
      <w:r>
        <w:rPr>
          <w:rFonts w:ascii="Arial"/>
          <w:b/>
          <w:sz w:val="24"/>
        </w:rPr>
        <w:t>Short-term Debt: </w:t>
      </w:r>
      <w:r>
        <w:rPr>
          <w:sz w:val="24"/>
        </w:rPr>
        <w:t>Short-term borrowings grew at a relatively modest CAGR of 4.6%, indicating a reduced reliance on short-term debt financing. The proportion of short-term</w:t>
      </w:r>
      <w:r>
        <w:rPr>
          <w:spacing w:val="-4"/>
          <w:sz w:val="24"/>
        </w:rPr>
        <w:t> </w:t>
      </w:r>
      <w:r>
        <w:rPr>
          <w:sz w:val="24"/>
        </w:rPr>
        <w:t>borrowings</w:t>
      </w:r>
      <w:r>
        <w:rPr>
          <w:spacing w:val="-4"/>
          <w:sz w:val="24"/>
        </w:rPr>
        <w:t> </w:t>
      </w:r>
      <w:r>
        <w:rPr>
          <w:sz w:val="24"/>
        </w:rPr>
        <w:t>to</w:t>
      </w:r>
      <w:r>
        <w:rPr>
          <w:spacing w:val="-4"/>
          <w:sz w:val="24"/>
        </w:rPr>
        <w:t> </w:t>
      </w:r>
      <w:r>
        <w:rPr>
          <w:sz w:val="24"/>
        </w:rPr>
        <w:t>total</w:t>
      </w:r>
      <w:r>
        <w:rPr>
          <w:spacing w:val="-4"/>
          <w:sz w:val="24"/>
        </w:rPr>
        <w:t> </w:t>
      </w:r>
      <w:r>
        <w:rPr>
          <w:sz w:val="24"/>
        </w:rPr>
        <w:t>current</w:t>
      </w:r>
      <w:r>
        <w:rPr>
          <w:spacing w:val="-4"/>
          <w:sz w:val="24"/>
        </w:rPr>
        <w:t> </w:t>
      </w:r>
      <w:r>
        <w:rPr>
          <w:sz w:val="24"/>
        </w:rPr>
        <w:t>liabilities</w:t>
      </w:r>
      <w:r>
        <w:rPr>
          <w:spacing w:val="-4"/>
          <w:sz w:val="24"/>
        </w:rPr>
        <w:t> </w:t>
      </w:r>
      <w:r>
        <w:rPr>
          <w:sz w:val="24"/>
        </w:rPr>
        <w:t>decreased</w:t>
      </w:r>
      <w:r>
        <w:rPr>
          <w:spacing w:val="-4"/>
          <w:sz w:val="24"/>
        </w:rPr>
        <w:t> </w:t>
      </w:r>
      <w:r>
        <w:rPr>
          <w:sz w:val="24"/>
        </w:rPr>
        <w:t>from</w:t>
      </w:r>
      <w:r>
        <w:rPr>
          <w:spacing w:val="-4"/>
          <w:sz w:val="24"/>
        </w:rPr>
        <w:t> </w:t>
      </w:r>
      <w:r>
        <w:rPr>
          <w:sz w:val="24"/>
        </w:rPr>
        <w:t>25.1%</w:t>
      </w:r>
      <w:r>
        <w:rPr>
          <w:spacing w:val="-4"/>
          <w:sz w:val="24"/>
        </w:rPr>
        <w:t> </w:t>
      </w:r>
      <w:r>
        <w:rPr>
          <w:sz w:val="24"/>
        </w:rPr>
        <w:t>in</w:t>
      </w:r>
      <w:r>
        <w:rPr>
          <w:spacing w:val="-4"/>
          <w:sz w:val="24"/>
        </w:rPr>
        <w:t> </w:t>
      </w:r>
      <w:r>
        <w:rPr>
          <w:sz w:val="24"/>
        </w:rPr>
        <w:t>FY2020-</w:t>
      </w:r>
      <w:r>
        <w:rPr>
          <w:sz w:val="24"/>
        </w:rPr>
        <w:t>21 to 23.5% in FY2024-25.</w:t>
      </w:r>
    </w:p>
    <w:p>
      <w:pPr>
        <w:pStyle w:val="BodyText"/>
        <w:spacing w:before="44"/>
      </w:pPr>
    </w:p>
    <w:p>
      <w:pPr>
        <w:pStyle w:val="ListParagraph"/>
        <w:numPr>
          <w:ilvl w:val="0"/>
          <w:numId w:val="15"/>
        </w:numPr>
        <w:tabs>
          <w:tab w:pos="386" w:val="left" w:leader="none"/>
        </w:tabs>
        <w:spacing w:line="208" w:lineRule="auto" w:before="0" w:after="0"/>
        <w:ind w:left="120" w:right="1647" w:firstLine="0"/>
        <w:jc w:val="left"/>
        <w:rPr>
          <w:sz w:val="24"/>
        </w:rPr>
      </w:pPr>
      <w:r>
        <w:rPr>
          <w:rFonts w:ascii="Arial"/>
          <w:b/>
          <w:sz w:val="24"/>
        </w:rPr>
        <w:t>Other</w:t>
      </w:r>
      <w:r>
        <w:rPr>
          <w:rFonts w:ascii="Arial"/>
          <w:b/>
          <w:spacing w:val="-3"/>
          <w:sz w:val="24"/>
        </w:rPr>
        <w:t> </w:t>
      </w:r>
      <w:r>
        <w:rPr>
          <w:rFonts w:ascii="Arial"/>
          <w:b/>
          <w:sz w:val="24"/>
        </w:rPr>
        <w:t>Current</w:t>
      </w:r>
      <w:r>
        <w:rPr>
          <w:rFonts w:ascii="Arial"/>
          <w:b/>
          <w:spacing w:val="-3"/>
          <w:sz w:val="24"/>
        </w:rPr>
        <w:t> </w:t>
      </w:r>
      <w:r>
        <w:rPr>
          <w:rFonts w:ascii="Arial"/>
          <w:b/>
          <w:sz w:val="24"/>
        </w:rPr>
        <w:t>Liabilities:</w:t>
      </w:r>
      <w:r>
        <w:rPr>
          <w:rFonts w:ascii="Arial"/>
          <w:b/>
          <w:spacing w:val="-3"/>
          <w:sz w:val="24"/>
        </w:rPr>
        <w:t> </w:t>
      </w:r>
      <w:r>
        <w:rPr>
          <w:sz w:val="24"/>
        </w:rPr>
        <w:t>These</w:t>
      </w:r>
      <w:r>
        <w:rPr>
          <w:spacing w:val="-3"/>
          <w:sz w:val="24"/>
        </w:rPr>
        <w:t> </w:t>
      </w:r>
      <w:r>
        <w:rPr>
          <w:sz w:val="24"/>
        </w:rPr>
        <w:t>grew</w:t>
      </w:r>
      <w:r>
        <w:rPr>
          <w:spacing w:val="-3"/>
          <w:sz w:val="24"/>
        </w:rPr>
        <w:t> </w:t>
      </w:r>
      <w:r>
        <w:rPr>
          <w:sz w:val="24"/>
        </w:rPr>
        <w:t>at</w:t>
      </w:r>
      <w:r>
        <w:rPr>
          <w:spacing w:val="-3"/>
          <w:sz w:val="24"/>
        </w:rPr>
        <w:t> </w:t>
      </w:r>
      <w:r>
        <w:rPr>
          <w:sz w:val="24"/>
        </w:rPr>
        <w:t>a</w:t>
      </w:r>
      <w:r>
        <w:rPr>
          <w:spacing w:val="-3"/>
          <w:sz w:val="24"/>
        </w:rPr>
        <w:t> </w:t>
      </w:r>
      <w:r>
        <w:rPr>
          <w:sz w:val="24"/>
        </w:rPr>
        <w:t>CAGR</w:t>
      </w:r>
      <w:r>
        <w:rPr>
          <w:spacing w:val="-3"/>
          <w:sz w:val="24"/>
        </w:rPr>
        <w:t> </w:t>
      </w:r>
      <w:r>
        <w:rPr>
          <w:sz w:val="24"/>
        </w:rPr>
        <w:t>of</w:t>
      </w:r>
      <w:r>
        <w:rPr>
          <w:spacing w:val="-3"/>
          <w:sz w:val="24"/>
        </w:rPr>
        <w:t> </w:t>
      </w:r>
      <w:r>
        <w:rPr>
          <w:sz w:val="24"/>
        </w:rPr>
        <w:t>6.0%,</w:t>
      </w:r>
      <w:r>
        <w:rPr>
          <w:spacing w:val="-3"/>
          <w:sz w:val="24"/>
        </w:rPr>
        <w:t> </w:t>
      </w:r>
      <w:r>
        <w:rPr>
          <w:sz w:val="24"/>
        </w:rPr>
        <w:t>broadly</w:t>
      </w:r>
      <w:r>
        <w:rPr>
          <w:spacing w:val="-3"/>
          <w:sz w:val="24"/>
        </w:rPr>
        <w:t> </w:t>
      </w:r>
      <w:r>
        <w:rPr>
          <w:sz w:val="24"/>
        </w:rPr>
        <w:t>in</w:t>
      </w:r>
      <w:r>
        <w:rPr>
          <w:spacing w:val="-3"/>
          <w:sz w:val="24"/>
        </w:rPr>
        <w:t> </w:t>
      </w:r>
      <w:r>
        <w:rPr>
          <w:sz w:val="24"/>
        </w:rPr>
        <w:t>line</w:t>
      </w:r>
      <w:r>
        <w:rPr>
          <w:spacing w:val="-3"/>
          <w:sz w:val="24"/>
        </w:rPr>
        <w:t> </w:t>
      </w:r>
      <w:r>
        <w:rPr>
          <w:sz w:val="24"/>
        </w:rPr>
        <w:t>with</w:t>
      </w:r>
      <w:r>
        <w:rPr>
          <w:spacing w:val="-3"/>
          <w:sz w:val="24"/>
        </w:rPr>
        <w:t> </w:t>
      </w:r>
      <w:r>
        <w:rPr>
          <w:sz w:val="24"/>
        </w:rPr>
        <w:t>the overall growth in operations. This category primarily includes advances from customers, statutory dues, and accrued expenses.</w:t>
      </w:r>
    </w:p>
    <w:p>
      <w:pPr>
        <w:pStyle w:val="BodyText"/>
        <w:spacing w:before="43"/>
      </w:pPr>
    </w:p>
    <w:p>
      <w:pPr>
        <w:pStyle w:val="BodyText"/>
        <w:spacing w:line="208" w:lineRule="auto" w:before="1"/>
        <w:ind w:left="120" w:right="1633"/>
      </w:pPr>
      <w:r>
        <w:rPr/>
        <w:t>Figure</w:t>
      </w:r>
      <w:r>
        <w:rPr>
          <w:spacing w:val="-4"/>
        </w:rPr>
        <w:t> </w:t>
      </w:r>
      <w:r>
        <w:rPr/>
        <w:t>5.2</w:t>
      </w:r>
      <w:r>
        <w:rPr>
          <w:spacing w:val="-4"/>
        </w:rPr>
        <w:t> </w:t>
      </w:r>
      <w:r>
        <w:rPr/>
        <w:t>illustrates</w:t>
      </w:r>
      <w:r>
        <w:rPr>
          <w:spacing w:val="-4"/>
        </w:rPr>
        <w:t> </w:t>
      </w:r>
      <w:r>
        <w:rPr/>
        <w:t>the</w:t>
      </w:r>
      <w:r>
        <w:rPr>
          <w:spacing w:val="-4"/>
        </w:rPr>
        <w:t> </w:t>
      </w:r>
      <w:r>
        <w:rPr/>
        <w:t>changing</w:t>
      </w:r>
      <w:r>
        <w:rPr>
          <w:spacing w:val="-4"/>
        </w:rPr>
        <w:t> </w:t>
      </w:r>
      <w:r>
        <w:rPr/>
        <w:t>composition</w:t>
      </w:r>
      <w:r>
        <w:rPr>
          <w:spacing w:val="-4"/>
        </w:rPr>
        <w:t> </w:t>
      </w:r>
      <w:r>
        <w:rPr/>
        <w:t>of</w:t>
      </w:r>
      <w:r>
        <w:rPr>
          <w:spacing w:val="-4"/>
        </w:rPr>
        <w:t> </w:t>
      </w:r>
      <w:r>
        <w:rPr/>
        <w:t>RIL's</w:t>
      </w:r>
      <w:r>
        <w:rPr>
          <w:spacing w:val="-4"/>
        </w:rPr>
        <w:t> </w:t>
      </w:r>
      <w:r>
        <w:rPr/>
        <w:t>current</w:t>
      </w:r>
      <w:r>
        <w:rPr>
          <w:spacing w:val="-4"/>
        </w:rPr>
        <w:t> </w:t>
      </w:r>
      <w:r>
        <w:rPr/>
        <w:t>liabilities</w:t>
      </w:r>
      <w:r>
        <w:rPr>
          <w:spacing w:val="-4"/>
        </w:rPr>
        <w:t> </w:t>
      </w:r>
      <w:r>
        <w:rPr/>
        <w:t>over</w:t>
      </w:r>
      <w:r>
        <w:rPr>
          <w:spacing w:val="-4"/>
        </w:rPr>
        <w:t> </w:t>
      </w:r>
      <w:r>
        <w:rPr/>
        <w:t>the study period:</w:t>
      </w:r>
    </w:p>
    <w:p>
      <w:pPr>
        <w:pStyle w:val="BodyText"/>
        <w:spacing w:before="56"/>
      </w:pPr>
    </w:p>
    <w:p>
      <w:pPr>
        <w:pStyle w:val="Heading3"/>
        <w:spacing w:before="1"/>
        <w:ind w:left="120" w:firstLine="0"/>
      </w:pPr>
      <w:r>
        <w:rPr/>
        <w:t>Figure 5.2: Composition of Current </w:t>
      </w:r>
      <w:r>
        <w:rPr>
          <w:spacing w:val="-2"/>
        </w:rPr>
        <w:t>Liabilities</w:t>
      </w:r>
    </w:p>
    <w:p>
      <w:pPr>
        <w:pStyle w:val="BodyText"/>
        <w:spacing w:before="1"/>
        <w:rPr>
          <w:rFonts w:ascii="Arial"/>
          <w:b/>
          <w:i/>
          <w:sz w:val="9"/>
        </w:rPr>
      </w:pPr>
      <w:r>
        <w:rPr>
          <w:rFonts w:ascii="Arial"/>
          <w:b/>
          <w:i/>
          <w:sz w:val="9"/>
        </w:rPr>
        <w:drawing>
          <wp:anchor distT="0" distB="0" distL="0" distR="0" allowOverlap="1" layoutInCell="1" locked="0" behindDoc="1" simplePos="0" relativeHeight="487589376">
            <wp:simplePos x="0" y="0"/>
            <wp:positionH relativeFrom="page">
              <wp:posOffset>1225296</wp:posOffset>
            </wp:positionH>
            <wp:positionV relativeFrom="paragraph">
              <wp:posOffset>81629</wp:posOffset>
            </wp:positionV>
            <wp:extent cx="5327294" cy="259003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327294" cy="2590038"/>
                    </a:xfrm>
                    <a:prstGeom prst="rect">
                      <a:avLst/>
                    </a:prstGeom>
                  </pic:spPr>
                </pic:pic>
              </a:graphicData>
            </a:graphic>
          </wp:anchor>
        </w:drawing>
      </w:r>
    </w:p>
    <w:p>
      <w:pPr>
        <w:pStyle w:val="BodyText"/>
        <w:spacing w:before="108"/>
        <w:rPr>
          <w:rFonts w:ascii="Arial"/>
          <w:b/>
          <w:i/>
          <w:sz w:val="28"/>
        </w:rPr>
      </w:pPr>
    </w:p>
    <w:p>
      <w:pPr>
        <w:pStyle w:val="ListParagraph"/>
        <w:numPr>
          <w:ilvl w:val="2"/>
          <w:numId w:val="3"/>
        </w:numPr>
        <w:tabs>
          <w:tab w:pos="820" w:val="left" w:leader="none"/>
        </w:tabs>
        <w:spacing w:line="240" w:lineRule="auto" w:before="0" w:after="0"/>
        <w:ind w:left="820" w:right="0" w:hanging="700"/>
        <w:jc w:val="left"/>
        <w:rPr>
          <w:rFonts w:ascii="Arial"/>
          <w:b/>
          <w:i/>
          <w:sz w:val="28"/>
        </w:rPr>
      </w:pPr>
      <w:r>
        <w:rPr>
          <w:rFonts w:ascii="Arial"/>
          <w:b/>
          <w:i/>
          <w:sz w:val="28"/>
        </w:rPr>
        <w:t>Net Working Capital </w:t>
      </w:r>
      <w:r>
        <w:rPr>
          <w:rFonts w:ascii="Arial"/>
          <w:b/>
          <w:i/>
          <w:spacing w:val="-2"/>
          <w:sz w:val="28"/>
        </w:rPr>
        <w:t>Analysis</w:t>
      </w:r>
    </w:p>
    <w:p>
      <w:pPr>
        <w:pStyle w:val="BodyText"/>
        <w:spacing w:before="276"/>
        <w:ind w:left="120"/>
      </w:pPr>
      <w:r>
        <w:rPr/>
        <w:t>Table 5.3 presents the analysis of RIL's net working capital </w:t>
      </w:r>
      <w:r>
        <w:rPr>
          <w:spacing w:val="-2"/>
        </w:rPr>
        <w:t>position:</w:t>
      </w:r>
    </w:p>
    <w:p>
      <w:pPr>
        <w:pStyle w:val="BodyText"/>
        <w:spacing w:before="8"/>
      </w:pPr>
    </w:p>
    <w:p>
      <w:pPr>
        <w:pStyle w:val="Heading4"/>
      </w:pPr>
      <w:r>
        <w:rPr/>
        <w:t>Table 5.3: Net Working Capital Analysis (FY2020-21 to FY2024-</w:t>
      </w:r>
      <w:r>
        <w:rPr>
          <w:spacing w:val="-5"/>
        </w:rPr>
        <w:t>25)</w:t>
      </w:r>
    </w:p>
    <w:p>
      <w:pPr>
        <w:pStyle w:val="BodyText"/>
        <w:spacing w:before="6"/>
        <w:rPr>
          <w:rFonts w:ascii="Arial"/>
          <w:b/>
          <w:sz w:val="12"/>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7"/>
        <w:gridCol w:w="1230"/>
        <w:gridCol w:w="1230"/>
        <w:gridCol w:w="1230"/>
        <w:gridCol w:w="1230"/>
        <w:gridCol w:w="1230"/>
        <w:gridCol w:w="1137"/>
      </w:tblGrid>
      <w:tr>
        <w:trPr>
          <w:trHeight w:val="350" w:hRule="atLeast"/>
        </w:trPr>
        <w:tc>
          <w:tcPr>
            <w:tcW w:w="3397" w:type="dxa"/>
            <w:shd w:val="clear" w:color="auto" w:fill="D3D3D3"/>
          </w:tcPr>
          <w:p>
            <w:pPr>
              <w:pStyle w:val="TableParagraph"/>
              <w:spacing w:before="55"/>
              <w:ind w:left="822"/>
              <w:rPr>
                <w:sz w:val="20"/>
              </w:rPr>
            </w:pPr>
            <w:r>
              <w:rPr>
                <w:sz w:val="20"/>
              </w:rPr>
              <w:t>Metric (</w:t>
            </w:r>
            <w:r>
              <w:rPr>
                <w:rFonts w:ascii="MS Gothic" w:hAnsi="MS Gothic"/>
                <w:sz w:val="20"/>
              </w:rPr>
              <w:t>■</w:t>
            </w:r>
            <w:r>
              <w:rPr>
                <w:rFonts w:ascii="Times New Roman" w:hAnsi="Times New Roman"/>
                <w:spacing w:val="5"/>
                <w:sz w:val="20"/>
              </w:rPr>
              <w:t> </w:t>
            </w:r>
            <w:r>
              <w:rPr>
                <w:sz w:val="20"/>
              </w:rPr>
              <w:t>in </w:t>
            </w:r>
            <w:r>
              <w:rPr>
                <w:spacing w:val="-2"/>
                <w:sz w:val="20"/>
              </w:rPr>
              <w:t>Crores)</w:t>
            </w:r>
          </w:p>
        </w:tc>
        <w:tc>
          <w:tcPr>
            <w:tcW w:w="1230" w:type="dxa"/>
            <w:shd w:val="clear" w:color="auto" w:fill="D3D3D3"/>
          </w:tcPr>
          <w:p>
            <w:pPr>
              <w:pStyle w:val="TableParagraph"/>
              <w:ind w:left="119"/>
              <w:rPr>
                <w:sz w:val="20"/>
              </w:rPr>
            </w:pPr>
            <w:r>
              <w:rPr>
                <w:sz w:val="20"/>
              </w:rPr>
              <w:t>FY2020-</w:t>
            </w:r>
            <w:r>
              <w:rPr>
                <w:spacing w:val="-5"/>
                <w:sz w:val="20"/>
              </w:rPr>
              <w:t>21</w:t>
            </w:r>
          </w:p>
        </w:tc>
        <w:tc>
          <w:tcPr>
            <w:tcW w:w="1230" w:type="dxa"/>
            <w:shd w:val="clear" w:color="auto" w:fill="D3D3D3"/>
          </w:tcPr>
          <w:p>
            <w:pPr>
              <w:pStyle w:val="TableParagraph"/>
              <w:ind w:left="118"/>
              <w:rPr>
                <w:sz w:val="20"/>
              </w:rPr>
            </w:pPr>
            <w:r>
              <w:rPr>
                <w:sz w:val="20"/>
              </w:rPr>
              <w:t>FY2021-</w:t>
            </w:r>
            <w:r>
              <w:rPr>
                <w:spacing w:val="-5"/>
                <w:sz w:val="20"/>
              </w:rPr>
              <w:t>22</w:t>
            </w:r>
          </w:p>
        </w:tc>
        <w:tc>
          <w:tcPr>
            <w:tcW w:w="1230" w:type="dxa"/>
            <w:shd w:val="clear" w:color="auto" w:fill="D3D3D3"/>
          </w:tcPr>
          <w:p>
            <w:pPr>
              <w:pStyle w:val="TableParagraph"/>
              <w:ind w:left="118"/>
              <w:rPr>
                <w:sz w:val="20"/>
              </w:rPr>
            </w:pPr>
            <w:r>
              <w:rPr>
                <w:sz w:val="20"/>
              </w:rPr>
              <w:t>FY2022-</w:t>
            </w:r>
            <w:r>
              <w:rPr>
                <w:spacing w:val="-5"/>
                <w:sz w:val="20"/>
              </w:rPr>
              <w:t>23</w:t>
            </w:r>
          </w:p>
        </w:tc>
        <w:tc>
          <w:tcPr>
            <w:tcW w:w="1230" w:type="dxa"/>
            <w:shd w:val="clear" w:color="auto" w:fill="D3D3D3"/>
          </w:tcPr>
          <w:p>
            <w:pPr>
              <w:pStyle w:val="TableParagraph"/>
              <w:ind w:left="117"/>
              <w:rPr>
                <w:sz w:val="20"/>
              </w:rPr>
            </w:pPr>
            <w:r>
              <w:rPr>
                <w:sz w:val="20"/>
              </w:rPr>
              <w:t>FY2023-</w:t>
            </w:r>
            <w:r>
              <w:rPr>
                <w:spacing w:val="-5"/>
                <w:sz w:val="20"/>
              </w:rPr>
              <w:t>24</w:t>
            </w:r>
          </w:p>
        </w:tc>
        <w:tc>
          <w:tcPr>
            <w:tcW w:w="1230" w:type="dxa"/>
            <w:shd w:val="clear" w:color="auto" w:fill="D3D3D3"/>
          </w:tcPr>
          <w:p>
            <w:pPr>
              <w:pStyle w:val="TableParagraph"/>
              <w:ind w:left="117"/>
              <w:rPr>
                <w:sz w:val="20"/>
              </w:rPr>
            </w:pPr>
            <w:r>
              <w:rPr>
                <w:sz w:val="20"/>
              </w:rPr>
              <w:t>FY2024-</w:t>
            </w:r>
            <w:r>
              <w:rPr>
                <w:spacing w:val="-5"/>
                <w:sz w:val="20"/>
              </w:rPr>
              <w:t>25</w:t>
            </w:r>
          </w:p>
        </w:tc>
        <w:tc>
          <w:tcPr>
            <w:tcW w:w="1137" w:type="dxa"/>
            <w:tcBorders>
              <w:right w:val="nil"/>
            </w:tcBorders>
            <w:shd w:val="clear" w:color="auto" w:fill="D3D3D3"/>
          </w:tcPr>
          <w:p>
            <w:pPr>
              <w:pStyle w:val="TableParagraph"/>
              <w:ind w:left="116"/>
              <w:rPr>
                <w:sz w:val="20"/>
              </w:rPr>
            </w:pPr>
            <w:r>
              <w:rPr>
                <w:sz w:val="20"/>
              </w:rPr>
              <w:t>CAGR </w:t>
            </w:r>
            <w:r>
              <w:rPr>
                <w:spacing w:val="-5"/>
                <w:sz w:val="20"/>
              </w:rPr>
              <w:t>(%)</w:t>
            </w:r>
          </w:p>
        </w:tc>
      </w:tr>
    </w:tbl>
    <w:p>
      <w:pPr>
        <w:pStyle w:val="TableParagraph"/>
        <w:spacing w:after="0"/>
        <w:rPr>
          <w:sz w:val="20"/>
        </w:rPr>
        <w:sectPr>
          <w:pgSz w:w="12240" w:h="15840"/>
          <w:pgMar w:top="1740" w:bottom="1459" w:left="1440" w:right="0"/>
        </w:sect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7"/>
        <w:gridCol w:w="1230"/>
        <w:gridCol w:w="1230"/>
        <w:gridCol w:w="1230"/>
        <w:gridCol w:w="1230"/>
        <w:gridCol w:w="1230"/>
        <w:gridCol w:w="1137"/>
      </w:tblGrid>
      <w:tr>
        <w:trPr>
          <w:trHeight w:val="350" w:hRule="atLeast"/>
        </w:trPr>
        <w:tc>
          <w:tcPr>
            <w:tcW w:w="3397" w:type="dxa"/>
          </w:tcPr>
          <w:p>
            <w:pPr>
              <w:pStyle w:val="TableParagraph"/>
              <w:rPr>
                <w:sz w:val="20"/>
              </w:rPr>
            </w:pPr>
            <w:r>
              <w:rPr>
                <w:sz w:val="20"/>
              </w:rPr>
              <w:t>Total Current </w:t>
            </w:r>
            <w:r>
              <w:rPr>
                <w:spacing w:val="-2"/>
                <w:sz w:val="20"/>
              </w:rPr>
              <w:t>Assets</w:t>
            </w:r>
          </w:p>
        </w:tc>
        <w:tc>
          <w:tcPr>
            <w:tcW w:w="1230" w:type="dxa"/>
          </w:tcPr>
          <w:p>
            <w:pPr>
              <w:pStyle w:val="TableParagraph"/>
              <w:ind w:left="119"/>
              <w:rPr>
                <w:sz w:val="20"/>
              </w:rPr>
            </w:pPr>
            <w:r>
              <w:rPr>
                <w:spacing w:val="-2"/>
                <w:sz w:val="20"/>
              </w:rPr>
              <w:t>222,071</w:t>
            </w:r>
          </w:p>
        </w:tc>
        <w:tc>
          <w:tcPr>
            <w:tcW w:w="1230" w:type="dxa"/>
          </w:tcPr>
          <w:p>
            <w:pPr>
              <w:pStyle w:val="TableParagraph"/>
              <w:ind w:left="118"/>
              <w:rPr>
                <w:sz w:val="20"/>
              </w:rPr>
            </w:pPr>
            <w:r>
              <w:rPr>
                <w:spacing w:val="-2"/>
                <w:sz w:val="20"/>
              </w:rPr>
              <w:t>239,900</w:t>
            </w:r>
          </w:p>
        </w:tc>
        <w:tc>
          <w:tcPr>
            <w:tcW w:w="1230" w:type="dxa"/>
          </w:tcPr>
          <w:p>
            <w:pPr>
              <w:pStyle w:val="TableParagraph"/>
              <w:ind w:left="118"/>
              <w:rPr>
                <w:sz w:val="20"/>
              </w:rPr>
            </w:pPr>
            <w:r>
              <w:rPr>
                <w:spacing w:val="-2"/>
                <w:sz w:val="20"/>
              </w:rPr>
              <w:t>253,270</w:t>
            </w:r>
          </w:p>
        </w:tc>
        <w:tc>
          <w:tcPr>
            <w:tcW w:w="1230" w:type="dxa"/>
          </w:tcPr>
          <w:p>
            <w:pPr>
              <w:pStyle w:val="TableParagraph"/>
              <w:ind w:left="117"/>
              <w:rPr>
                <w:sz w:val="20"/>
              </w:rPr>
            </w:pPr>
            <w:r>
              <w:rPr>
                <w:spacing w:val="-2"/>
                <w:sz w:val="20"/>
              </w:rPr>
              <w:t>271,131</w:t>
            </w:r>
          </w:p>
        </w:tc>
        <w:tc>
          <w:tcPr>
            <w:tcW w:w="1230" w:type="dxa"/>
          </w:tcPr>
          <w:p>
            <w:pPr>
              <w:pStyle w:val="TableParagraph"/>
              <w:ind w:left="117"/>
              <w:rPr>
                <w:sz w:val="20"/>
              </w:rPr>
            </w:pPr>
            <w:r>
              <w:rPr>
                <w:spacing w:val="-2"/>
                <w:sz w:val="20"/>
              </w:rPr>
              <w:t>287,328</w:t>
            </w:r>
          </w:p>
        </w:tc>
        <w:tc>
          <w:tcPr>
            <w:tcW w:w="1137" w:type="dxa"/>
            <w:tcBorders>
              <w:right w:val="nil"/>
            </w:tcBorders>
          </w:tcPr>
          <w:p>
            <w:pPr>
              <w:pStyle w:val="TableParagraph"/>
              <w:ind w:left="116"/>
              <w:rPr>
                <w:sz w:val="20"/>
              </w:rPr>
            </w:pPr>
            <w:r>
              <w:rPr>
                <w:spacing w:val="-4"/>
                <w:sz w:val="20"/>
              </w:rPr>
              <w:t>6.7%</w:t>
            </w:r>
          </w:p>
        </w:tc>
      </w:tr>
      <w:tr>
        <w:trPr>
          <w:trHeight w:val="350" w:hRule="atLeast"/>
        </w:trPr>
        <w:tc>
          <w:tcPr>
            <w:tcW w:w="3397" w:type="dxa"/>
          </w:tcPr>
          <w:p>
            <w:pPr>
              <w:pStyle w:val="TableParagraph"/>
              <w:rPr>
                <w:sz w:val="20"/>
              </w:rPr>
            </w:pPr>
            <w:r>
              <w:rPr>
                <w:sz w:val="20"/>
              </w:rPr>
              <w:t>Total Current </w:t>
            </w:r>
            <w:r>
              <w:rPr>
                <w:spacing w:val="-2"/>
                <w:sz w:val="20"/>
              </w:rPr>
              <w:t>Liabilities</w:t>
            </w:r>
          </w:p>
        </w:tc>
        <w:tc>
          <w:tcPr>
            <w:tcW w:w="1230" w:type="dxa"/>
          </w:tcPr>
          <w:p>
            <w:pPr>
              <w:pStyle w:val="TableParagraph"/>
              <w:ind w:left="119"/>
              <w:rPr>
                <w:sz w:val="20"/>
              </w:rPr>
            </w:pPr>
            <w:r>
              <w:rPr>
                <w:spacing w:val="-2"/>
                <w:sz w:val="20"/>
              </w:rPr>
              <w:t>141,868</w:t>
            </w:r>
          </w:p>
        </w:tc>
        <w:tc>
          <w:tcPr>
            <w:tcW w:w="1230" w:type="dxa"/>
          </w:tcPr>
          <w:p>
            <w:pPr>
              <w:pStyle w:val="TableParagraph"/>
              <w:ind w:left="118"/>
              <w:rPr>
                <w:sz w:val="20"/>
              </w:rPr>
            </w:pPr>
            <w:r>
              <w:rPr>
                <w:spacing w:val="-2"/>
                <w:sz w:val="20"/>
              </w:rPr>
              <w:t>152,761</w:t>
            </w:r>
          </w:p>
        </w:tc>
        <w:tc>
          <w:tcPr>
            <w:tcW w:w="1230" w:type="dxa"/>
          </w:tcPr>
          <w:p>
            <w:pPr>
              <w:pStyle w:val="TableParagraph"/>
              <w:ind w:left="118"/>
              <w:rPr>
                <w:sz w:val="20"/>
              </w:rPr>
            </w:pPr>
            <w:r>
              <w:rPr>
                <w:spacing w:val="-2"/>
                <w:sz w:val="20"/>
              </w:rPr>
              <w:t>161,769</w:t>
            </w:r>
          </w:p>
        </w:tc>
        <w:tc>
          <w:tcPr>
            <w:tcW w:w="1230" w:type="dxa"/>
          </w:tcPr>
          <w:p>
            <w:pPr>
              <w:pStyle w:val="TableParagraph"/>
              <w:ind w:left="117"/>
              <w:rPr>
                <w:sz w:val="20"/>
              </w:rPr>
            </w:pPr>
            <w:r>
              <w:rPr>
                <w:spacing w:val="-2"/>
                <w:sz w:val="20"/>
              </w:rPr>
              <w:t>172,094</w:t>
            </w:r>
          </w:p>
        </w:tc>
        <w:tc>
          <w:tcPr>
            <w:tcW w:w="1230" w:type="dxa"/>
          </w:tcPr>
          <w:p>
            <w:pPr>
              <w:pStyle w:val="TableParagraph"/>
              <w:ind w:left="117"/>
              <w:rPr>
                <w:sz w:val="20"/>
              </w:rPr>
            </w:pPr>
            <w:r>
              <w:rPr>
                <w:spacing w:val="-2"/>
                <w:sz w:val="20"/>
              </w:rPr>
              <w:t>181,251</w:t>
            </w:r>
          </w:p>
        </w:tc>
        <w:tc>
          <w:tcPr>
            <w:tcW w:w="1137" w:type="dxa"/>
            <w:tcBorders>
              <w:right w:val="nil"/>
            </w:tcBorders>
          </w:tcPr>
          <w:p>
            <w:pPr>
              <w:pStyle w:val="TableParagraph"/>
              <w:ind w:left="116"/>
              <w:rPr>
                <w:sz w:val="20"/>
              </w:rPr>
            </w:pPr>
            <w:r>
              <w:rPr>
                <w:spacing w:val="-4"/>
                <w:sz w:val="20"/>
              </w:rPr>
              <w:t>6.3%</w:t>
            </w:r>
          </w:p>
        </w:tc>
      </w:tr>
      <w:tr>
        <w:trPr>
          <w:trHeight w:val="350" w:hRule="atLeast"/>
        </w:trPr>
        <w:tc>
          <w:tcPr>
            <w:tcW w:w="3397" w:type="dxa"/>
          </w:tcPr>
          <w:p>
            <w:pPr>
              <w:pStyle w:val="TableParagraph"/>
              <w:rPr>
                <w:sz w:val="20"/>
              </w:rPr>
            </w:pPr>
            <w:r>
              <w:rPr>
                <w:sz w:val="20"/>
              </w:rPr>
              <w:t>Net Working </w:t>
            </w:r>
            <w:r>
              <w:rPr>
                <w:spacing w:val="-2"/>
                <w:sz w:val="20"/>
              </w:rPr>
              <w:t>Capital</w:t>
            </w:r>
          </w:p>
        </w:tc>
        <w:tc>
          <w:tcPr>
            <w:tcW w:w="1230" w:type="dxa"/>
          </w:tcPr>
          <w:p>
            <w:pPr>
              <w:pStyle w:val="TableParagraph"/>
              <w:ind w:left="119"/>
              <w:rPr>
                <w:sz w:val="20"/>
              </w:rPr>
            </w:pPr>
            <w:r>
              <w:rPr>
                <w:spacing w:val="-2"/>
                <w:sz w:val="20"/>
              </w:rPr>
              <w:t>80,203</w:t>
            </w:r>
          </w:p>
        </w:tc>
        <w:tc>
          <w:tcPr>
            <w:tcW w:w="1230" w:type="dxa"/>
          </w:tcPr>
          <w:p>
            <w:pPr>
              <w:pStyle w:val="TableParagraph"/>
              <w:ind w:left="118"/>
              <w:rPr>
                <w:sz w:val="20"/>
              </w:rPr>
            </w:pPr>
            <w:r>
              <w:rPr>
                <w:spacing w:val="-2"/>
                <w:sz w:val="20"/>
              </w:rPr>
              <w:t>87,139</w:t>
            </w:r>
          </w:p>
        </w:tc>
        <w:tc>
          <w:tcPr>
            <w:tcW w:w="1230" w:type="dxa"/>
          </w:tcPr>
          <w:p>
            <w:pPr>
              <w:pStyle w:val="TableParagraph"/>
              <w:ind w:left="118"/>
              <w:rPr>
                <w:sz w:val="20"/>
              </w:rPr>
            </w:pPr>
            <w:r>
              <w:rPr>
                <w:spacing w:val="-2"/>
                <w:sz w:val="20"/>
              </w:rPr>
              <w:t>91,501</w:t>
            </w:r>
          </w:p>
        </w:tc>
        <w:tc>
          <w:tcPr>
            <w:tcW w:w="1230" w:type="dxa"/>
          </w:tcPr>
          <w:p>
            <w:pPr>
              <w:pStyle w:val="TableParagraph"/>
              <w:ind w:left="117"/>
              <w:rPr>
                <w:sz w:val="20"/>
              </w:rPr>
            </w:pPr>
            <w:r>
              <w:rPr>
                <w:spacing w:val="-2"/>
                <w:sz w:val="20"/>
              </w:rPr>
              <w:t>99,037</w:t>
            </w:r>
          </w:p>
        </w:tc>
        <w:tc>
          <w:tcPr>
            <w:tcW w:w="1230" w:type="dxa"/>
          </w:tcPr>
          <w:p>
            <w:pPr>
              <w:pStyle w:val="TableParagraph"/>
              <w:ind w:left="117"/>
              <w:rPr>
                <w:sz w:val="20"/>
              </w:rPr>
            </w:pPr>
            <w:r>
              <w:rPr>
                <w:spacing w:val="-2"/>
                <w:sz w:val="20"/>
              </w:rPr>
              <w:t>106,077</w:t>
            </w:r>
          </w:p>
        </w:tc>
        <w:tc>
          <w:tcPr>
            <w:tcW w:w="1137" w:type="dxa"/>
            <w:tcBorders>
              <w:right w:val="nil"/>
            </w:tcBorders>
          </w:tcPr>
          <w:p>
            <w:pPr>
              <w:pStyle w:val="TableParagraph"/>
              <w:ind w:left="116"/>
              <w:rPr>
                <w:sz w:val="20"/>
              </w:rPr>
            </w:pPr>
            <w:r>
              <w:rPr>
                <w:spacing w:val="-4"/>
                <w:sz w:val="20"/>
              </w:rPr>
              <w:t>7.2%</w:t>
            </w:r>
          </w:p>
        </w:tc>
      </w:tr>
      <w:tr>
        <w:trPr>
          <w:trHeight w:val="350" w:hRule="atLeast"/>
        </w:trPr>
        <w:tc>
          <w:tcPr>
            <w:tcW w:w="3397" w:type="dxa"/>
          </w:tcPr>
          <w:p>
            <w:pPr>
              <w:pStyle w:val="TableParagraph"/>
              <w:rPr>
                <w:sz w:val="20"/>
              </w:rPr>
            </w:pPr>
            <w:r>
              <w:rPr>
                <w:sz w:val="20"/>
              </w:rPr>
              <w:t>Net Working Capital to </w:t>
            </w:r>
            <w:r>
              <w:rPr>
                <w:spacing w:val="-2"/>
                <w:sz w:val="20"/>
              </w:rPr>
              <w:t>Revenue</w:t>
            </w:r>
          </w:p>
        </w:tc>
        <w:tc>
          <w:tcPr>
            <w:tcW w:w="1230" w:type="dxa"/>
          </w:tcPr>
          <w:p>
            <w:pPr>
              <w:pStyle w:val="TableParagraph"/>
              <w:ind w:left="119"/>
              <w:rPr>
                <w:sz w:val="20"/>
              </w:rPr>
            </w:pPr>
            <w:r>
              <w:rPr>
                <w:spacing w:val="-2"/>
                <w:sz w:val="20"/>
              </w:rPr>
              <w:t>14.9%</w:t>
            </w:r>
          </w:p>
        </w:tc>
        <w:tc>
          <w:tcPr>
            <w:tcW w:w="1230" w:type="dxa"/>
          </w:tcPr>
          <w:p>
            <w:pPr>
              <w:pStyle w:val="TableParagraph"/>
              <w:ind w:left="118"/>
              <w:rPr>
                <w:sz w:val="20"/>
              </w:rPr>
            </w:pPr>
            <w:r>
              <w:rPr>
                <w:spacing w:val="-2"/>
                <w:sz w:val="20"/>
              </w:rPr>
              <w:t>14.2%</w:t>
            </w:r>
          </w:p>
        </w:tc>
        <w:tc>
          <w:tcPr>
            <w:tcW w:w="1230" w:type="dxa"/>
          </w:tcPr>
          <w:p>
            <w:pPr>
              <w:pStyle w:val="TableParagraph"/>
              <w:ind w:left="118"/>
              <w:rPr>
                <w:sz w:val="20"/>
              </w:rPr>
            </w:pPr>
            <w:r>
              <w:rPr>
                <w:spacing w:val="-2"/>
                <w:sz w:val="20"/>
              </w:rPr>
              <w:t>13.2%</w:t>
            </w:r>
          </w:p>
        </w:tc>
        <w:tc>
          <w:tcPr>
            <w:tcW w:w="1230" w:type="dxa"/>
          </w:tcPr>
          <w:p>
            <w:pPr>
              <w:pStyle w:val="TableParagraph"/>
              <w:ind w:left="117"/>
              <w:rPr>
                <w:sz w:val="20"/>
              </w:rPr>
            </w:pPr>
            <w:r>
              <w:rPr>
                <w:spacing w:val="-2"/>
                <w:sz w:val="20"/>
              </w:rPr>
              <w:t>12.6%</w:t>
            </w:r>
          </w:p>
        </w:tc>
        <w:tc>
          <w:tcPr>
            <w:tcW w:w="1230" w:type="dxa"/>
          </w:tcPr>
          <w:p>
            <w:pPr>
              <w:pStyle w:val="TableParagraph"/>
              <w:ind w:left="117"/>
              <w:rPr>
                <w:sz w:val="20"/>
              </w:rPr>
            </w:pPr>
            <w:r>
              <w:rPr>
                <w:spacing w:val="-2"/>
                <w:sz w:val="20"/>
              </w:rPr>
              <w:t>12.4%</w:t>
            </w:r>
          </w:p>
        </w:tc>
        <w:tc>
          <w:tcPr>
            <w:tcW w:w="1137" w:type="dxa"/>
            <w:tcBorders>
              <w:right w:val="nil"/>
            </w:tcBorders>
          </w:tcPr>
          <w:p>
            <w:pPr>
              <w:pStyle w:val="TableParagraph"/>
              <w:ind w:left="116"/>
              <w:rPr>
                <w:sz w:val="20"/>
              </w:rPr>
            </w:pPr>
            <w:r>
              <w:rPr>
                <w:sz w:val="20"/>
              </w:rPr>
              <w:t>-</w:t>
            </w:r>
            <w:r>
              <w:rPr>
                <w:spacing w:val="-4"/>
                <w:sz w:val="20"/>
              </w:rPr>
              <w:t>4.5%</w:t>
            </w:r>
          </w:p>
        </w:tc>
      </w:tr>
      <w:tr>
        <w:trPr>
          <w:trHeight w:val="350" w:hRule="atLeast"/>
        </w:trPr>
        <w:tc>
          <w:tcPr>
            <w:tcW w:w="3397" w:type="dxa"/>
          </w:tcPr>
          <w:p>
            <w:pPr>
              <w:pStyle w:val="TableParagraph"/>
              <w:rPr>
                <w:sz w:val="20"/>
              </w:rPr>
            </w:pPr>
            <w:r>
              <w:rPr>
                <w:sz w:val="20"/>
              </w:rPr>
              <w:t>Net Working Capital to Total </w:t>
            </w:r>
            <w:r>
              <w:rPr>
                <w:spacing w:val="-2"/>
                <w:sz w:val="20"/>
              </w:rPr>
              <w:t>Assets</w:t>
            </w:r>
          </w:p>
        </w:tc>
        <w:tc>
          <w:tcPr>
            <w:tcW w:w="1230" w:type="dxa"/>
          </w:tcPr>
          <w:p>
            <w:pPr>
              <w:pStyle w:val="TableParagraph"/>
              <w:ind w:left="119"/>
              <w:rPr>
                <w:sz w:val="20"/>
              </w:rPr>
            </w:pPr>
            <w:r>
              <w:rPr>
                <w:spacing w:val="-4"/>
                <w:sz w:val="20"/>
              </w:rPr>
              <w:t>5.5%</w:t>
            </w:r>
          </w:p>
        </w:tc>
        <w:tc>
          <w:tcPr>
            <w:tcW w:w="1230" w:type="dxa"/>
          </w:tcPr>
          <w:p>
            <w:pPr>
              <w:pStyle w:val="TableParagraph"/>
              <w:ind w:left="118"/>
              <w:rPr>
                <w:sz w:val="20"/>
              </w:rPr>
            </w:pPr>
            <w:r>
              <w:rPr>
                <w:spacing w:val="-4"/>
                <w:sz w:val="20"/>
              </w:rPr>
              <w:t>5.2%</w:t>
            </w:r>
          </w:p>
        </w:tc>
        <w:tc>
          <w:tcPr>
            <w:tcW w:w="1230" w:type="dxa"/>
          </w:tcPr>
          <w:p>
            <w:pPr>
              <w:pStyle w:val="TableParagraph"/>
              <w:ind w:left="118"/>
              <w:rPr>
                <w:sz w:val="20"/>
              </w:rPr>
            </w:pPr>
            <w:r>
              <w:rPr>
                <w:spacing w:val="-4"/>
                <w:sz w:val="20"/>
              </w:rPr>
              <w:t>4.8%</w:t>
            </w:r>
          </w:p>
        </w:tc>
        <w:tc>
          <w:tcPr>
            <w:tcW w:w="1230" w:type="dxa"/>
          </w:tcPr>
          <w:p>
            <w:pPr>
              <w:pStyle w:val="TableParagraph"/>
              <w:ind w:left="117"/>
              <w:rPr>
                <w:sz w:val="20"/>
              </w:rPr>
            </w:pPr>
            <w:r>
              <w:rPr>
                <w:spacing w:val="-4"/>
                <w:sz w:val="20"/>
              </w:rPr>
              <w:t>4.6%</w:t>
            </w:r>
          </w:p>
        </w:tc>
        <w:tc>
          <w:tcPr>
            <w:tcW w:w="1230" w:type="dxa"/>
          </w:tcPr>
          <w:p>
            <w:pPr>
              <w:pStyle w:val="TableParagraph"/>
              <w:ind w:left="117"/>
              <w:rPr>
                <w:sz w:val="20"/>
              </w:rPr>
            </w:pPr>
            <w:r>
              <w:rPr>
                <w:spacing w:val="-4"/>
                <w:sz w:val="20"/>
              </w:rPr>
              <w:t>4.3%</w:t>
            </w:r>
          </w:p>
        </w:tc>
        <w:tc>
          <w:tcPr>
            <w:tcW w:w="1137" w:type="dxa"/>
            <w:tcBorders>
              <w:right w:val="nil"/>
            </w:tcBorders>
          </w:tcPr>
          <w:p>
            <w:pPr>
              <w:pStyle w:val="TableParagraph"/>
              <w:ind w:left="116"/>
              <w:rPr>
                <w:sz w:val="20"/>
              </w:rPr>
            </w:pPr>
            <w:r>
              <w:rPr>
                <w:sz w:val="20"/>
              </w:rPr>
              <w:t>-</w:t>
            </w:r>
            <w:r>
              <w:rPr>
                <w:spacing w:val="-4"/>
                <w:sz w:val="20"/>
              </w:rPr>
              <w:t>6.0%</w:t>
            </w:r>
          </w:p>
        </w:tc>
      </w:tr>
    </w:tbl>
    <w:p>
      <w:pPr>
        <w:pStyle w:val="BodyText"/>
        <w:spacing w:before="228"/>
        <w:rPr>
          <w:rFonts w:ascii="Arial"/>
          <w:b/>
        </w:rPr>
      </w:pPr>
    </w:p>
    <w:p>
      <w:pPr>
        <w:spacing w:before="1"/>
        <w:ind w:left="120" w:right="0" w:firstLine="0"/>
        <w:jc w:val="left"/>
        <w:rPr>
          <w:rFonts w:ascii="Arial"/>
          <w:i/>
          <w:sz w:val="24"/>
        </w:rPr>
      </w:pPr>
      <w:r>
        <w:rPr>
          <w:rFonts w:ascii="Arial"/>
          <w:i/>
          <w:sz w:val="24"/>
        </w:rPr>
        <w:t>Source: RIL Annual Reports FY2020-21 to FY2024-</w:t>
      </w:r>
      <w:r>
        <w:rPr>
          <w:rFonts w:ascii="Arial"/>
          <w:i/>
          <w:spacing w:val="-5"/>
          <w:sz w:val="24"/>
        </w:rPr>
        <w:t>25</w:t>
      </w:r>
    </w:p>
    <w:p>
      <w:pPr>
        <w:pStyle w:val="BodyText"/>
        <w:spacing w:before="7"/>
        <w:rPr>
          <w:rFonts w:ascii="Arial"/>
          <w:i/>
        </w:rPr>
      </w:pPr>
    </w:p>
    <w:p>
      <w:pPr>
        <w:pStyle w:val="Heading4"/>
        <w:spacing w:before="1"/>
      </w:pPr>
      <w:r>
        <w:rPr/>
        <w:t>Key </w:t>
      </w:r>
      <w:r>
        <w:rPr>
          <w:spacing w:val="-2"/>
        </w:rPr>
        <w:t>Observations:</w:t>
      </w:r>
    </w:p>
    <w:p>
      <w:pPr>
        <w:pStyle w:val="BodyText"/>
        <w:spacing w:before="36"/>
        <w:rPr>
          <w:rFonts w:ascii="Arial"/>
          <w:b/>
        </w:rPr>
      </w:pPr>
    </w:p>
    <w:p>
      <w:pPr>
        <w:pStyle w:val="ListParagraph"/>
        <w:numPr>
          <w:ilvl w:val="0"/>
          <w:numId w:val="16"/>
        </w:numPr>
        <w:tabs>
          <w:tab w:pos="386" w:val="left" w:leader="none"/>
        </w:tabs>
        <w:spacing w:line="196" w:lineRule="auto" w:before="0" w:after="0"/>
        <w:ind w:left="120" w:right="1576" w:firstLine="0"/>
        <w:jc w:val="left"/>
        <w:rPr>
          <w:sz w:val="24"/>
        </w:rPr>
      </w:pPr>
      <w:r>
        <w:rPr>
          <w:rFonts w:ascii="Arial" w:hAnsi="Arial"/>
          <w:b/>
          <w:sz w:val="24"/>
        </w:rPr>
        <w:t>Net</w:t>
      </w:r>
      <w:r>
        <w:rPr>
          <w:rFonts w:ascii="Arial" w:hAnsi="Arial"/>
          <w:b/>
          <w:spacing w:val="-4"/>
          <w:sz w:val="24"/>
        </w:rPr>
        <w:t> </w:t>
      </w:r>
      <w:r>
        <w:rPr>
          <w:rFonts w:ascii="Arial" w:hAnsi="Arial"/>
          <w:b/>
          <w:sz w:val="24"/>
        </w:rPr>
        <w:t>Working</w:t>
      </w:r>
      <w:r>
        <w:rPr>
          <w:rFonts w:ascii="Arial" w:hAnsi="Arial"/>
          <w:b/>
          <w:spacing w:val="-4"/>
          <w:sz w:val="24"/>
        </w:rPr>
        <w:t> </w:t>
      </w:r>
      <w:r>
        <w:rPr>
          <w:rFonts w:ascii="Arial" w:hAnsi="Arial"/>
          <w:b/>
          <w:sz w:val="24"/>
        </w:rPr>
        <w:t>Capital</w:t>
      </w:r>
      <w:r>
        <w:rPr>
          <w:rFonts w:ascii="Arial" w:hAnsi="Arial"/>
          <w:b/>
          <w:spacing w:val="-4"/>
          <w:sz w:val="24"/>
        </w:rPr>
        <w:t> </w:t>
      </w:r>
      <w:r>
        <w:rPr>
          <w:rFonts w:ascii="Arial" w:hAnsi="Arial"/>
          <w:b/>
          <w:sz w:val="24"/>
        </w:rPr>
        <w:t>Growth:</w:t>
      </w:r>
      <w:r>
        <w:rPr>
          <w:rFonts w:ascii="Arial" w:hAnsi="Arial"/>
          <w:b/>
          <w:spacing w:val="-4"/>
          <w:sz w:val="24"/>
        </w:rPr>
        <w:t> </w:t>
      </w:r>
      <w:r>
        <w:rPr>
          <w:sz w:val="24"/>
        </w:rPr>
        <w:t>RIL's</w:t>
      </w:r>
      <w:r>
        <w:rPr>
          <w:spacing w:val="-4"/>
          <w:sz w:val="24"/>
        </w:rPr>
        <w:t> </w:t>
      </w:r>
      <w:r>
        <w:rPr>
          <w:sz w:val="24"/>
        </w:rPr>
        <w:t>net</w:t>
      </w:r>
      <w:r>
        <w:rPr>
          <w:spacing w:val="-4"/>
          <w:sz w:val="24"/>
        </w:rPr>
        <w:t> </w:t>
      </w:r>
      <w:r>
        <w:rPr>
          <w:sz w:val="24"/>
        </w:rPr>
        <w:t>working</w:t>
      </w:r>
      <w:r>
        <w:rPr>
          <w:spacing w:val="-4"/>
          <w:sz w:val="24"/>
        </w:rPr>
        <w:t> </w:t>
      </w:r>
      <w:r>
        <w:rPr>
          <w:sz w:val="24"/>
        </w:rPr>
        <w:t>capital</w:t>
      </w:r>
      <w:r>
        <w:rPr>
          <w:spacing w:val="-4"/>
          <w:sz w:val="24"/>
        </w:rPr>
        <w:t> </w:t>
      </w:r>
      <w:r>
        <w:rPr>
          <w:sz w:val="24"/>
        </w:rPr>
        <w:t>grew</w:t>
      </w:r>
      <w:r>
        <w:rPr>
          <w:spacing w:val="-4"/>
          <w:sz w:val="24"/>
        </w:rPr>
        <w:t> </w:t>
      </w:r>
      <w:r>
        <w:rPr>
          <w:sz w:val="24"/>
        </w:rPr>
        <w:t>from</w:t>
      </w:r>
      <w:r>
        <w:rPr>
          <w:spacing w:val="-4"/>
          <w:sz w:val="24"/>
        </w:rPr>
        <w:t> </w:t>
      </w:r>
      <w:r>
        <w:rPr>
          <w:rFonts w:ascii="MS Gothic" w:hAnsi="MS Gothic"/>
          <w:sz w:val="24"/>
        </w:rPr>
        <w:t>■</w:t>
      </w:r>
      <w:r>
        <w:rPr>
          <w:sz w:val="24"/>
        </w:rPr>
        <w:t>80,203</w:t>
      </w:r>
      <w:r>
        <w:rPr>
          <w:spacing w:val="-4"/>
          <w:sz w:val="24"/>
        </w:rPr>
        <w:t> </w:t>
      </w:r>
      <w:r>
        <w:rPr>
          <w:sz w:val="24"/>
        </w:rPr>
        <w:t>crores in FY2020-21 to </w:t>
      </w:r>
      <w:r>
        <w:rPr>
          <w:rFonts w:ascii="MS Gothic" w:hAnsi="MS Gothic"/>
          <w:sz w:val="24"/>
        </w:rPr>
        <w:t>■</w:t>
      </w:r>
      <w:r>
        <w:rPr>
          <w:sz w:val="24"/>
        </w:rPr>
        <w:t>106,077 crores in FY2024-25, representing a CAGR of 7.2%. This growth</w:t>
      </w:r>
      <w:r>
        <w:rPr>
          <w:spacing w:val="-1"/>
          <w:sz w:val="24"/>
        </w:rPr>
        <w:t> </w:t>
      </w:r>
      <w:r>
        <w:rPr>
          <w:sz w:val="24"/>
        </w:rPr>
        <w:t>outpaced</w:t>
      </w:r>
      <w:r>
        <w:rPr>
          <w:spacing w:val="-1"/>
          <w:sz w:val="24"/>
        </w:rPr>
        <w:t> </w:t>
      </w:r>
      <w:r>
        <w:rPr>
          <w:sz w:val="24"/>
        </w:rPr>
        <w:t>the</w:t>
      </w:r>
      <w:r>
        <w:rPr>
          <w:spacing w:val="-1"/>
          <w:sz w:val="24"/>
        </w:rPr>
        <w:t> </w:t>
      </w:r>
      <w:r>
        <w:rPr>
          <w:sz w:val="24"/>
        </w:rPr>
        <w:t>growth</w:t>
      </w:r>
      <w:r>
        <w:rPr>
          <w:spacing w:val="-1"/>
          <w:sz w:val="24"/>
        </w:rPr>
        <w:t> </w:t>
      </w:r>
      <w:r>
        <w:rPr>
          <w:sz w:val="24"/>
        </w:rPr>
        <w:t>of</w:t>
      </w:r>
      <w:r>
        <w:rPr>
          <w:spacing w:val="-1"/>
          <w:sz w:val="24"/>
        </w:rPr>
        <w:t> </w:t>
      </w:r>
      <w:r>
        <w:rPr>
          <w:sz w:val="24"/>
        </w:rPr>
        <w:t>both</w:t>
      </w:r>
      <w:r>
        <w:rPr>
          <w:spacing w:val="-1"/>
          <w:sz w:val="24"/>
        </w:rPr>
        <w:t> </w:t>
      </w:r>
      <w:r>
        <w:rPr>
          <w:sz w:val="24"/>
        </w:rPr>
        <w:t>current</w:t>
      </w:r>
      <w:r>
        <w:rPr>
          <w:spacing w:val="-1"/>
          <w:sz w:val="24"/>
        </w:rPr>
        <w:t> </w:t>
      </w:r>
      <w:r>
        <w:rPr>
          <w:sz w:val="24"/>
        </w:rPr>
        <w:t>assets</w:t>
      </w:r>
      <w:r>
        <w:rPr>
          <w:spacing w:val="-1"/>
          <w:sz w:val="24"/>
        </w:rPr>
        <w:t> </w:t>
      </w:r>
      <w:r>
        <w:rPr>
          <w:sz w:val="24"/>
        </w:rPr>
        <w:t>and</w:t>
      </w:r>
      <w:r>
        <w:rPr>
          <w:spacing w:val="-1"/>
          <w:sz w:val="24"/>
        </w:rPr>
        <w:t> </w:t>
      </w:r>
      <w:r>
        <w:rPr>
          <w:sz w:val="24"/>
        </w:rPr>
        <w:t>current</w:t>
      </w:r>
      <w:r>
        <w:rPr>
          <w:spacing w:val="-1"/>
          <w:sz w:val="24"/>
        </w:rPr>
        <w:t> </w:t>
      </w:r>
      <w:r>
        <w:rPr>
          <w:sz w:val="24"/>
        </w:rPr>
        <w:t>liabilities,</w:t>
      </w:r>
      <w:r>
        <w:rPr>
          <w:spacing w:val="-1"/>
          <w:sz w:val="24"/>
        </w:rPr>
        <w:t> </w:t>
      </w:r>
      <w:r>
        <w:rPr>
          <w:sz w:val="24"/>
        </w:rPr>
        <w:t>indicating</w:t>
      </w:r>
      <w:r>
        <w:rPr>
          <w:spacing w:val="-1"/>
          <w:sz w:val="24"/>
        </w:rPr>
        <w:t> </w:t>
      </w:r>
      <w:r>
        <w:rPr>
          <w:sz w:val="24"/>
        </w:rPr>
        <w:t>an improving working capital position.</w:t>
      </w:r>
    </w:p>
    <w:p>
      <w:pPr>
        <w:pStyle w:val="BodyText"/>
        <w:spacing w:before="48"/>
      </w:pPr>
    </w:p>
    <w:p>
      <w:pPr>
        <w:pStyle w:val="ListParagraph"/>
        <w:numPr>
          <w:ilvl w:val="0"/>
          <w:numId w:val="16"/>
        </w:numPr>
        <w:tabs>
          <w:tab w:pos="386" w:val="left" w:leader="none"/>
        </w:tabs>
        <w:spacing w:line="208" w:lineRule="auto" w:before="0" w:after="0"/>
        <w:ind w:left="120" w:right="1859" w:firstLine="0"/>
        <w:jc w:val="left"/>
        <w:rPr>
          <w:sz w:val="24"/>
        </w:rPr>
      </w:pPr>
      <w:r>
        <w:rPr>
          <w:rFonts w:ascii="Arial"/>
          <w:b/>
          <w:sz w:val="24"/>
        </w:rPr>
        <w:t>Efficiency</w:t>
      </w:r>
      <w:r>
        <w:rPr>
          <w:rFonts w:ascii="Arial"/>
          <w:b/>
          <w:spacing w:val="-2"/>
          <w:sz w:val="24"/>
        </w:rPr>
        <w:t> </w:t>
      </w:r>
      <w:r>
        <w:rPr>
          <w:rFonts w:ascii="Arial"/>
          <w:b/>
          <w:sz w:val="24"/>
        </w:rPr>
        <w:t>Improvements:</w:t>
      </w:r>
      <w:r>
        <w:rPr>
          <w:rFonts w:ascii="Arial"/>
          <w:b/>
          <w:spacing w:val="-2"/>
          <w:sz w:val="24"/>
        </w:rPr>
        <w:t> </w:t>
      </w:r>
      <w:r>
        <w:rPr>
          <w:sz w:val="24"/>
        </w:rPr>
        <w:t>Despite</w:t>
      </w:r>
      <w:r>
        <w:rPr>
          <w:spacing w:val="-2"/>
          <w:sz w:val="24"/>
        </w:rPr>
        <w:t> </w:t>
      </w:r>
      <w:r>
        <w:rPr>
          <w:sz w:val="24"/>
        </w:rPr>
        <w:t>the</w:t>
      </w:r>
      <w:r>
        <w:rPr>
          <w:spacing w:val="-2"/>
          <w:sz w:val="24"/>
        </w:rPr>
        <w:t> </w:t>
      </w:r>
      <w:r>
        <w:rPr>
          <w:sz w:val="24"/>
        </w:rPr>
        <w:t>absolute</w:t>
      </w:r>
      <w:r>
        <w:rPr>
          <w:spacing w:val="-2"/>
          <w:sz w:val="24"/>
        </w:rPr>
        <w:t> </w:t>
      </w:r>
      <w:r>
        <w:rPr>
          <w:sz w:val="24"/>
        </w:rPr>
        <w:t>increase</w:t>
      </w:r>
      <w:r>
        <w:rPr>
          <w:spacing w:val="-2"/>
          <w:sz w:val="24"/>
        </w:rPr>
        <w:t> </w:t>
      </w:r>
      <w:r>
        <w:rPr>
          <w:sz w:val="24"/>
        </w:rPr>
        <w:t>in</w:t>
      </w:r>
      <w:r>
        <w:rPr>
          <w:spacing w:val="-2"/>
          <w:sz w:val="24"/>
        </w:rPr>
        <w:t> </w:t>
      </w:r>
      <w:r>
        <w:rPr>
          <w:sz w:val="24"/>
        </w:rPr>
        <w:t>net</w:t>
      </w:r>
      <w:r>
        <w:rPr>
          <w:spacing w:val="-2"/>
          <w:sz w:val="24"/>
        </w:rPr>
        <w:t> </w:t>
      </w:r>
      <w:r>
        <w:rPr>
          <w:sz w:val="24"/>
        </w:rPr>
        <w:t>working</w:t>
      </w:r>
      <w:r>
        <w:rPr>
          <w:spacing w:val="-2"/>
          <w:sz w:val="24"/>
        </w:rPr>
        <w:t> </w:t>
      </w:r>
      <w:r>
        <w:rPr>
          <w:sz w:val="24"/>
        </w:rPr>
        <w:t>capital, the</w:t>
      </w:r>
      <w:r>
        <w:rPr>
          <w:spacing w:val="-3"/>
          <w:sz w:val="24"/>
        </w:rPr>
        <w:t> </w:t>
      </w:r>
      <w:r>
        <w:rPr>
          <w:sz w:val="24"/>
        </w:rPr>
        <w:t>ratio</w:t>
      </w:r>
      <w:r>
        <w:rPr>
          <w:spacing w:val="-3"/>
          <w:sz w:val="24"/>
        </w:rPr>
        <w:t> </w:t>
      </w:r>
      <w:r>
        <w:rPr>
          <w:sz w:val="24"/>
        </w:rPr>
        <w:t>of</w:t>
      </w:r>
      <w:r>
        <w:rPr>
          <w:spacing w:val="-3"/>
          <w:sz w:val="24"/>
        </w:rPr>
        <w:t> </w:t>
      </w:r>
      <w:r>
        <w:rPr>
          <w:sz w:val="24"/>
        </w:rPr>
        <w:t>net</w:t>
      </w:r>
      <w:r>
        <w:rPr>
          <w:spacing w:val="-3"/>
          <w:sz w:val="24"/>
        </w:rPr>
        <w:t> </w:t>
      </w:r>
      <w:r>
        <w:rPr>
          <w:sz w:val="24"/>
        </w:rPr>
        <w:t>working</w:t>
      </w:r>
      <w:r>
        <w:rPr>
          <w:spacing w:val="-3"/>
          <w:sz w:val="24"/>
        </w:rPr>
        <w:t> </w:t>
      </w:r>
      <w:r>
        <w:rPr>
          <w:sz w:val="24"/>
        </w:rPr>
        <w:t>capital</w:t>
      </w:r>
      <w:r>
        <w:rPr>
          <w:spacing w:val="-3"/>
          <w:sz w:val="24"/>
        </w:rPr>
        <w:t> </w:t>
      </w:r>
      <w:r>
        <w:rPr>
          <w:sz w:val="24"/>
        </w:rPr>
        <w:t>to</w:t>
      </w:r>
      <w:r>
        <w:rPr>
          <w:spacing w:val="-3"/>
          <w:sz w:val="24"/>
        </w:rPr>
        <w:t> </w:t>
      </w:r>
      <w:r>
        <w:rPr>
          <w:sz w:val="24"/>
        </w:rPr>
        <w:t>revenue</w:t>
      </w:r>
      <w:r>
        <w:rPr>
          <w:spacing w:val="-3"/>
          <w:sz w:val="24"/>
        </w:rPr>
        <w:t> </w:t>
      </w:r>
      <w:r>
        <w:rPr>
          <w:sz w:val="24"/>
        </w:rPr>
        <w:t>decreased</w:t>
      </w:r>
      <w:r>
        <w:rPr>
          <w:spacing w:val="-3"/>
          <w:sz w:val="24"/>
        </w:rPr>
        <w:t> </w:t>
      </w:r>
      <w:r>
        <w:rPr>
          <w:sz w:val="24"/>
        </w:rPr>
        <w:t>from</w:t>
      </w:r>
      <w:r>
        <w:rPr>
          <w:spacing w:val="-3"/>
          <w:sz w:val="24"/>
        </w:rPr>
        <w:t> </w:t>
      </w:r>
      <w:r>
        <w:rPr>
          <w:sz w:val="24"/>
        </w:rPr>
        <w:t>14.9%</w:t>
      </w:r>
      <w:r>
        <w:rPr>
          <w:spacing w:val="-3"/>
          <w:sz w:val="24"/>
        </w:rPr>
        <w:t> </w:t>
      </w:r>
      <w:r>
        <w:rPr>
          <w:sz w:val="24"/>
        </w:rPr>
        <w:t>to</w:t>
      </w:r>
      <w:r>
        <w:rPr>
          <w:spacing w:val="-3"/>
          <w:sz w:val="24"/>
        </w:rPr>
        <w:t> </w:t>
      </w:r>
      <w:r>
        <w:rPr>
          <w:sz w:val="24"/>
        </w:rPr>
        <w:t>12.4%</w:t>
      </w:r>
      <w:r>
        <w:rPr>
          <w:spacing w:val="-3"/>
          <w:sz w:val="24"/>
        </w:rPr>
        <w:t> </w:t>
      </w:r>
      <w:r>
        <w:rPr>
          <w:sz w:val="24"/>
        </w:rPr>
        <w:t>over</w:t>
      </w:r>
      <w:r>
        <w:rPr>
          <w:spacing w:val="-3"/>
          <w:sz w:val="24"/>
        </w:rPr>
        <w:t> </w:t>
      </w:r>
      <w:r>
        <w:rPr>
          <w:sz w:val="24"/>
        </w:rPr>
        <w:t>the five-year period. This indicates improved efficiency in working capital utilization relative to the scale of operations.</w:t>
      </w:r>
    </w:p>
    <w:p>
      <w:pPr>
        <w:pStyle w:val="BodyText"/>
        <w:spacing w:before="44"/>
      </w:pPr>
    </w:p>
    <w:p>
      <w:pPr>
        <w:pStyle w:val="ListParagraph"/>
        <w:numPr>
          <w:ilvl w:val="0"/>
          <w:numId w:val="16"/>
        </w:numPr>
        <w:tabs>
          <w:tab w:pos="386" w:val="left" w:leader="none"/>
        </w:tabs>
        <w:spacing w:line="208" w:lineRule="auto" w:before="0" w:after="0"/>
        <w:ind w:left="120" w:right="1633" w:firstLine="0"/>
        <w:jc w:val="left"/>
        <w:rPr>
          <w:sz w:val="24"/>
        </w:rPr>
      </w:pPr>
      <w:r>
        <w:rPr>
          <w:rFonts w:ascii="Arial"/>
          <w:b/>
          <w:sz w:val="24"/>
        </w:rPr>
        <w:t>Capital Allocation: </w:t>
      </w:r>
      <w:r>
        <w:rPr>
          <w:sz w:val="24"/>
        </w:rPr>
        <w:t>The declining ratio of net working capital to total assets (from 5.5%</w:t>
      </w:r>
      <w:r>
        <w:rPr>
          <w:spacing w:val="-3"/>
          <w:sz w:val="24"/>
        </w:rPr>
        <w:t> </w:t>
      </w:r>
      <w:r>
        <w:rPr>
          <w:sz w:val="24"/>
        </w:rPr>
        <w:t>to</w:t>
      </w:r>
      <w:r>
        <w:rPr>
          <w:spacing w:val="-3"/>
          <w:sz w:val="24"/>
        </w:rPr>
        <w:t> </w:t>
      </w:r>
      <w:r>
        <w:rPr>
          <w:sz w:val="24"/>
        </w:rPr>
        <w:t>4.3%)</w:t>
      </w:r>
      <w:r>
        <w:rPr>
          <w:spacing w:val="-3"/>
          <w:sz w:val="24"/>
        </w:rPr>
        <w:t> </w:t>
      </w:r>
      <w:r>
        <w:rPr>
          <w:sz w:val="24"/>
        </w:rPr>
        <w:t>suggests</w:t>
      </w:r>
      <w:r>
        <w:rPr>
          <w:spacing w:val="-3"/>
          <w:sz w:val="24"/>
        </w:rPr>
        <w:t> </w:t>
      </w:r>
      <w:r>
        <w:rPr>
          <w:sz w:val="24"/>
        </w:rPr>
        <w:t>a</w:t>
      </w:r>
      <w:r>
        <w:rPr>
          <w:spacing w:val="-3"/>
          <w:sz w:val="24"/>
        </w:rPr>
        <w:t> </w:t>
      </w:r>
      <w:r>
        <w:rPr>
          <w:sz w:val="24"/>
        </w:rPr>
        <w:t>strategic</w:t>
      </w:r>
      <w:r>
        <w:rPr>
          <w:spacing w:val="-3"/>
          <w:sz w:val="24"/>
        </w:rPr>
        <w:t> </w:t>
      </w:r>
      <w:r>
        <w:rPr>
          <w:sz w:val="24"/>
        </w:rPr>
        <w:t>shift</w:t>
      </w:r>
      <w:r>
        <w:rPr>
          <w:spacing w:val="-3"/>
          <w:sz w:val="24"/>
        </w:rPr>
        <w:t> </w:t>
      </w:r>
      <w:r>
        <w:rPr>
          <w:sz w:val="24"/>
        </w:rPr>
        <w:t>in</w:t>
      </w:r>
      <w:r>
        <w:rPr>
          <w:spacing w:val="-3"/>
          <w:sz w:val="24"/>
        </w:rPr>
        <w:t> </w:t>
      </w:r>
      <w:r>
        <w:rPr>
          <w:sz w:val="24"/>
        </w:rPr>
        <w:t>capital</w:t>
      </w:r>
      <w:r>
        <w:rPr>
          <w:spacing w:val="-3"/>
          <w:sz w:val="24"/>
        </w:rPr>
        <w:t> </w:t>
      </w:r>
      <w:r>
        <w:rPr>
          <w:sz w:val="24"/>
        </w:rPr>
        <w:t>allocation,</w:t>
      </w:r>
      <w:r>
        <w:rPr>
          <w:spacing w:val="-3"/>
          <w:sz w:val="24"/>
        </w:rPr>
        <w:t> </w:t>
      </w:r>
      <w:r>
        <w:rPr>
          <w:sz w:val="24"/>
        </w:rPr>
        <w:t>with</w:t>
      </w:r>
      <w:r>
        <w:rPr>
          <w:spacing w:val="-3"/>
          <w:sz w:val="24"/>
        </w:rPr>
        <w:t> </w:t>
      </w:r>
      <w:r>
        <w:rPr>
          <w:sz w:val="24"/>
        </w:rPr>
        <w:t>a</w:t>
      </w:r>
      <w:r>
        <w:rPr>
          <w:spacing w:val="-3"/>
          <w:sz w:val="24"/>
        </w:rPr>
        <w:t> </w:t>
      </w:r>
      <w:r>
        <w:rPr>
          <w:sz w:val="24"/>
        </w:rPr>
        <w:t>greater</w:t>
      </w:r>
      <w:r>
        <w:rPr>
          <w:spacing w:val="-3"/>
          <w:sz w:val="24"/>
        </w:rPr>
        <w:t> </w:t>
      </w:r>
      <w:r>
        <w:rPr>
          <w:sz w:val="24"/>
        </w:rPr>
        <w:t>proportion of assets being deployed in long-term investments rather than working capital.</w:t>
      </w:r>
    </w:p>
    <w:p>
      <w:pPr>
        <w:pStyle w:val="BodyText"/>
        <w:spacing w:before="43"/>
      </w:pPr>
    </w:p>
    <w:p>
      <w:pPr>
        <w:pStyle w:val="ListParagraph"/>
        <w:numPr>
          <w:ilvl w:val="0"/>
          <w:numId w:val="16"/>
        </w:numPr>
        <w:tabs>
          <w:tab w:pos="386" w:val="left" w:leader="none"/>
        </w:tabs>
        <w:spacing w:line="208" w:lineRule="auto" w:before="0" w:after="0"/>
        <w:ind w:left="120" w:right="1556" w:firstLine="0"/>
        <w:jc w:val="left"/>
        <w:rPr>
          <w:sz w:val="24"/>
        </w:rPr>
      </w:pPr>
      <w:r>
        <w:rPr>
          <w:rFonts w:ascii="Arial"/>
          <w:b/>
          <w:sz w:val="24"/>
        </w:rPr>
        <w:t>Working Capital Strategy: </w:t>
      </w:r>
      <w:r>
        <w:rPr>
          <w:sz w:val="24"/>
        </w:rPr>
        <w:t>The analysis indicates that RIL maintains a moderate approach to working capital management, balancing liquidity needs with efficiency considerations.</w:t>
      </w:r>
      <w:r>
        <w:rPr>
          <w:spacing w:val="-7"/>
          <w:sz w:val="24"/>
        </w:rPr>
        <w:t> </w:t>
      </w:r>
      <w:r>
        <w:rPr>
          <w:sz w:val="24"/>
        </w:rPr>
        <w:t>The</w:t>
      </w:r>
      <w:r>
        <w:rPr>
          <w:spacing w:val="-7"/>
          <w:sz w:val="24"/>
        </w:rPr>
        <w:t> </w:t>
      </w:r>
      <w:r>
        <w:rPr>
          <w:sz w:val="24"/>
        </w:rPr>
        <w:t>positive</w:t>
      </w:r>
      <w:r>
        <w:rPr>
          <w:spacing w:val="-7"/>
          <w:sz w:val="24"/>
        </w:rPr>
        <w:t> </w:t>
      </w:r>
      <w:r>
        <w:rPr>
          <w:sz w:val="24"/>
        </w:rPr>
        <w:t>and</w:t>
      </w:r>
      <w:r>
        <w:rPr>
          <w:spacing w:val="-7"/>
          <w:sz w:val="24"/>
        </w:rPr>
        <w:t> </w:t>
      </w:r>
      <w:r>
        <w:rPr>
          <w:sz w:val="24"/>
        </w:rPr>
        <w:t>growing</w:t>
      </w:r>
      <w:r>
        <w:rPr>
          <w:spacing w:val="-7"/>
          <w:sz w:val="24"/>
        </w:rPr>
        <w:t> </w:t>
      </w:r>
      <w:r>
        <w:rPr>
          <w:sz w:val="24"/>
        </w:rPr>
        <w:t>net</w:t>
      </w:r>
      <w:r>
        <w:rPr>
          <w:spacing w:val="-7"/>
          <w:sz w:val="24"/>
        </w:rPr>
        <w:t> </w:t>
      </w:r>
      <w:r>
        <w:rPr>
          <w:sz w:val="24"/>
        </w:rPr>
        <w:t>working</w:t>
      </w:r>
      <w:r>
        <w:rPr>
          <w:spacing w:val="-7"/>
          <w:sz w:val="24"/>
        </w:rPr>
        <w:t> </w:t>
      </w:r>
      <w:r>
        <w:rPr>
          <w:sz w:val="24"/>
        </w:rPr>
        <w:t>capital</w:t>
      </w:r>
      <w:r>
        <w:rPr>
          <w:spacing w:val="-7"/>
          <w:sz w:val="24"/>
        </w:rPr>
        <w:t> </w:t>
      </w:r>
      <w:r>
        <w:rPr>
          <w:sz w:val="24"/>
        </w:rPr>
        <w:t>position</w:t>
      </w:r>
      <w:r>
        <w:rPr>
          <w:spacing w:val="-7"/>
          <w:sz w:val="24"/>
        </w:rPr>
        <w:t> </w:t>
      </w:r>
      <w:r>
        <w:rPr>
          <w:sz w:val="24"/>
        </w:rPr>
        <w:t>provides</w:t>
      </w:r>
      <w:r>
        <w:rPr>
          <w:spacing w:val="-7"/>
          <w:sz w:val="24"/>
        </w:rPr>
        <w:t> </w:t>
      </w:r>
      <w:r>
        <w:rPr>
          <w:sz w:val="24"/>
        </w:rPr>
        <w:t>a</w:t>
      </w:r>
      <w:r>
        <w:rPr>
          <w:spacing w:val="-7"/>
          <w:sz w:val="24"/>
        </w:rPr>
        <w:t> </w:t>
      </w:r>
      <w:r>
        <w:rPr>
          <w:sz w:val="24"/>
        </w:rPr>
        <w:t>buffer against short-term obligations while supporting operational requirements.</w:t>
      </w:r>
    </w:p>
    <w:p>
      <w:pPr>
        <w:pStyle w:val="BodyText"/>
        <w:spacing w:before="100"/>
      </w:pPr>
    </w:p>
    <w:p>
      <w:pPr>
        <w:pStyle w:val="Heading2"/>
        <w:numPr>
          <w:ilvl w:val="1"/>
          <w:numId w:val="3"/>
        </w:numPr>
        <w:tabs>
          <w:tab w:pos="653" w:val="left" w:leader="none"/>
        </w:tabs>
        <w:spacing w:line="240" w:lineRule="auto" w:before="0" w:after="0"/>
        <w:ind w:left="653" w:right="0" w:hanging="533"/>
        <w:jc w:val="left"/>
      </w:pPr>
      <w:r>
        <w:rPr/>
        <w:t>Working Capital Metrics </w:t>
      </w:r>
      <w:r>
        <w:rPr>
          <w:spacing w:val="-2"/>
        </w:rPr>
        <w:t>Analysis</w:t>
      </w:r>
    </w:p>
    <w:p>
      <w:pPr>
        <w:pStyle w:val="BodyText"/>
        <w:spacing w:before="8"/>
        <w:rPr>
          <w:rFonts w:ascii="Arial"/>
          <w:b/>
          <w:sz w:val="32"/>
        </w:rPr>
      </w:pPr>
    </w:p>
    <w:p>
      <w:pPr>
        <w:pStyle w:val="BodyText"/>
        <w:spacing w:line="208" w:lineRule="auto" w:before="0"/>
        <w:ind w:left="120" w:right="1633"/>
      </w:pPr>
      <w:r>
        <w:rPr/>
        <w:t>This</w:t>
      </w:r>
      <w:r>
        <w:rPr>
          <w:spacing w:val="-4"/>
        </w:rPr>
        <w:t> </w:t>
      </w:r>
      <w:r>
        <w:rPr/>
        <w:t>section</w:t>
      </w:r>
      <w:r>
        <w:rPr>
          <w:spacing w:val="-4"/>
        </w:rPr>
        <w:t> </w:t>
      </w:r>
      <w:r>
        <w:rPr/>
        <w:t>examines</w:t>
      </w:r>
      <w:r>
        <w:rPr>
          <w:spacing w:val="-4"/>
        </w:rPr>
        <w:t> </w:t>
      </w:r>
      <w:r>
        <w:rPr/>
        <w:t>key</w:t>
      </w:r>
      <w:r>
        <w:rPr>
          <w:spacing w:val="-4"/>
        </w:rPr>
        <w:t> </w:t>
      </w:r>
      <w:r>
        <w:rPr/>
        <w:t>working</w:t>
      </w:r>
      <w:r>
        <w:rPr>
          <w:spacing w:val="-4"/>
        </w:rPr>
        <w:t> </w:t>
      </w:r>
      <w:r>
        <w:rPr/>
        <w:t>capital</w:t>
      </w:r>
      <w:r>
        <w:rPr>
          <w:spacing w:val="-4"/>
        </w:rPr>
        <w:t> </w:t>
      </w:r>
      <w:r>
        <w:rPr/>
        <w:t>metrics</w:t>
      </w:r>
      <w:r>
        <w:rPr>
          <w:spacing w:val="-4"/>
        </w:rPr>
        <w:t> </w:t>
      </w:r>
      <w:r>
        <w:rPr/>
        <w:t>to</w:t>
      </w:r>
      <w:r>
        <w:rPr>
          <w:spacing w:val="-4"/>
        </w:rPr>
        <w:t> </w:t>
      </w:r>
      <w:r>
        <w:rPr/>
        <w:t>evaluate</w:t>
      </w:r>
      <w:r>
        <w:rPr>
          <w:spacing w:val="-4"/>
        </w:rPr>
        <w:t> </w:t>
      </w:r>
      <w:r>
        <w:rPr/>
        <w:t>RIL's</w:t>
      </w:r>
      <w:r>
        <w:rPr>
          <w:spacing w:val="-4"/>
        </w:rPr>
        <w:t> </w:t>
      </w:r>
      <w:r>
        <w:rPr/>
        <w:t>liquidity, efficiency, and overall working capital management effectiveness.</w:t>
      </w:r>
    </w:p>
    <w:p>
      <w:pPr>
        <w:pStyle w:val="BodyText"/>
        <w:spacing w:before="57"/>
      </w:pPr>
    </w:p>
    <w:p>
      <w:pPr>
        <w:pStyle w:val="Heading3"/>
        <w:numPr>
          <w:ilvl w:val="2"/>
          <w:numId w:val="3"/>
        </w:numPr>
        <w:tabs>
          <w:tab w:pos="820" w:val="left" w:leader="none"/>
        </w:tabs>
        <w:spacing w:line="240" w:lineRule="auto" w:before="0" w:after="0"/>
        <w:ind w:left="820" w:right="0" w:hanging="700"/>
        <w:jc w:val="left"/>
      </w:pPr>
      <w:r>
        <w:rPr/>
        <w:t>Liquidity </w:t>
      </w:r>
      <w:r>
        <w:rPr>
          <w:spacing w:val="-2"/>
        </w:rPr>
        <w:t>Ratios</w:t>
      </w:r>
    </w:p>
    <w:p>
      <w:pPr>
        <w:pStyle w:val="BodyText"/>
        <w:spacing w:before="276"/>
        <w:ind w:left="120"/>
      </w:pPr>
      <w:r>
        <w:rPr/>
        <w:t>Table 5.4 presents RIL's liquidity ratios over the study </w:t>
      </w:r>
      <w:r>
        <w:rPr>
          <w:spacing w:val="-2"/>
        </w:rPr>
        <w:t>period:</w:t>
      </w:r>
    </w:p>
    <w:p>
      <w:pPr>
        <w:pStyle w:val="BodyText"/>
        <w:spacing w:before="8"/>
      </w:pPr>
    </w:p>
    <w:p>
      <w:pPr>
        <w:pStyle w:val="Heading4"/>
      </w:pPr>
      <w:r>
        <w:rPr/>
        <w:t>Table 5.4: Liquidity Ratios (FY2020-21 to FY2024-</w:t>
      </w:r>
      <w:r>
        <w:rPr>
          <w:spacing w:val="-5"/>
        </w:rPr>
        <w:t>25)</w:t>
      </w:r>
    </w:p>
    <w:p>
      <w:pPr>
        <w:pStyle w:val="BodyText"/>
        <w:spacing w:before="6"/>
        <w:rPr>
          <w:rFonts w:ascii="Arial"/>
          <w:b/>
          <w:sz w:val="12"/>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2"/>
        <w:gridCol w:w="1230"/>
        <w:gridCol w:w="1230"/>
        <w:gridCol w:w="1230"/>
        <w:gridCol w:w="1230"/>
        <w:gridCol w:w="1230"/>
        <w:gridCol w:w="2082"/>
      </w:tblGrid>
      <w:tr>
        <w:trPr>
          <w:trHeight w:val="350" w:hRule="atLeast"/>
        </w:trPr>
        <w:tc>
          <w:tcPr>
            <w:tcW w:w="2452" w:type="dxa"/>
            <w:shd w:val="clear" w:color="auto" w:fill="D3D3D3"/>
          </w:tcPr>
          <w:p>
            <w:pPr>
              <w:pStyle w:val="TableParagraph"/>
              <w:ind w:left="9"/>
              <w:jc w:val="center"/>
              <w:rPr>
                <w:sz w:val="20"/>
              </w:rPr>
            </w:pPr>
            <w:r>
              <w:rPr>
                <w:spacing w:val="-2"/>
                <w:sz w:val="20"/>
              </w:rPr>
              <w:t>Ratio</w:t>
            </w:r>
          </w:p>
        </w:tc>
        <w:tc>
          <w:tcPr>
            <w:tcW w:w="1230" w:type="dxa"/>
            <w:shd w:val="clear" w:color="auto" w:fill="D3D3D3"/>
          </w:tcPr>
          <w:p>
            <w:pPr>
              <w:pStyle w:val="TableParagraph"/>
              <w:ind w:left="119"/>
              <w:rPr>
                <w:sz w:val="20"/>
              </w:rPr>
            </w:pPr>
            <w:r>
              <w:rPr>
                <w:sz w:val="20"/>
              </w:rPr>
              <w:t>FY2020-</w:t>
            </w:r>
            <w:r>
              <w:rPr>
                <w:spacing w:val="-5"/>
                <w:sz w:val="20"/>
              </w:rPr>
              <w:t>21</w:t>
            </w:r>
          </w:p>
        </w:tc>
        <w:tc>
          <w:tcPr>
            <w:tcW w:w="1230" w:type="dxa"/>
            <w:shd w:val="clear" w:color="auto" w:fill="D3D3D3"/>
          </w:tcPr>
          <w:p>
            <w:pPr>
              <w:pStyle w:val="TableParagraph"/>
              <w:ind w:left="119"/>
              <w:rPr>
                <w:sz w:val="20"/>
              </w:rPr>
            </w:pPr>
            <w:r>
              <w:rPr>
                <w:sz w:val="20"/>
              </w:rPr>
              <w:t>FY2021-</w:t>
            </w:r>
            <w:r>
              <w:rPr>
                <w:spacing w:val="-5"/>
                <w:sz w:val="20"/>
              </w:rPr>
              <w:t>22</w:t>
            </w:r>
          </w:p>
        </w:tc>
        <w:tc>
          <w:tcPr>
            <w:tcW w:w="1230" w:type="dxa"/>
            <w:shd w:val="clear" w:color="auto" w:fill="D3D3D3"/>
          </w:tcPr>
          <w:p>
            <w:pPr>
              <w:pStyle w:val="TableParagraph"/>
              <w:ind w:left="118"/>
              <w:rPr>
                <w:sz w:val="20"/>
              </w:rPr>
            </w:pPr>
            <w:r>
              <w:rPr>
                <w:sz w:val="20"/>
              </w:rPr>
              <w:t>FY2022-</w:t>
            </w:r>
            <w:r>
              <w:rPr>
                <w:spacing w:val="-5"/>
                <w:sz w:val="20"/>
              </w:rPr>
              <w:t>23</w:t>
            </w:r>
          </w:p>
        </w:tc>
        <w:tc>
          <w:tcPr>
            <w:tcW w:w="1230" w:type="dxa"/>
            <w:shd w:val="clear" w:color="auto" w:fill="D3D3D3"/>
          </w:tcPr>
          <w:p>
            <w:pPr>
              <w:pStyle w:val="TableParagraph"/>
              <w:ind w:left="117"/>
              <w:rPr>
                <w:sz w:val="20"/>
              </w:rPr>
            </w:pPr>
            <w:r>
              <w:rPr>
                <w:sz w:val="20"/>
              </w:rPr>
              <w:t>FY2023-</w:t>
            </w:r>
            <w:r>
              <w:rPr>
                <w:spacing w:val="-5"/>
                <w:sz w:val="20"/>
              </w:rPr>
              <w:t>24</w:t>
            </w:r>
          </w:p>
        </w:tc>
        <w:tc>
          <w:tcPr>
            <w:tcW w:w="1230" w:type="dxa"/>
            <w:shd w:val="clear" w:color="auto" w:fill="D3D3D3"/>
          </w:tcPr>
          <w:p>
            <w:pPr>
              <w:pStyle w:val="TableParagraph"/>
              <w:ind w:left="117"/>
              <w:rPr>
                <w:sz w:val="20"/>
              </w:rPr>
            </w:pPr>
            <w:r>
              <w:rPr>
                <w:sz w:val="20"/>
              </w:rPr>
              <w:t>FY2024-</w:t>
            </w:r>
            <w:r>
              <w:rPr>
                <w:spacing w:val="-5"/>
                <w:sz w:val="20"/>
              </w:rPr>
              <w:t>25</w:t>
            </w:r>
          </w:p>
        </w:tc>
        <w:tc>
          <w:tcPr>
            <w:tcW w:w="2082" w:type="dxa"/>
            <w:tcBorders>
              <w:right w:val="nil"/>
            </w:tcBorders>
            <w:shd w:val="clear" w:color="auto" w:fill="D3D3D3"/>
          </w:tcPr>
          <w:p>
            <w:pPr>
              <w:pStyle w:val="TableParagraph"/>
              <w:ind w:left="116" w:right="-44"/>
              <w:rPr>
                <w:sz w:val="20"/>
              </w:rPr>
            </w:pPr>
            <w:r>
              <w:rPr>
                <w:sz w:val="20"/>
              </w:rPr>
              <w:t>Industry Average </w:t>
            </w:r>
            <w:r>
              <w:rPr>
                <w:spacing w:val="-4"/>
                <w:sz w:val="20"/>
              </w:rPr>
              <w:t>(FY2</w:t>
            </w:r>
          </w:p>
        </w:tc>
      </w:tr>
      <w:tr>
        <w:trPr>
          <w:trHeight w:val="350" w:hRule="atLeast"/>
        </w:trPr>
        <w:tc>
          <w:tcPr>
            <w:tcW w:w="2452" w:type="dxa"/>
          </w:tcPr>
          <w:p>
            <w:pPr>
              <w:pStyle w:val="TableParagraph"/>
              <w:rPr>
                <w:sz w:val="20"/>
              </w:rPr>
            </w:pPr>
            <w:r>
              <w:rPr>
                <w:sz w:val="20"/>
              </w:rPr>
              <w:t>Current </w:t>
            </w:r>
            <w:r>
              <w:rPr>
                <w:spacing w:val="-2"/>
                <w:sz w:val="20"/>
              </w:rPr>
              <w:t>Ratio</w:t>
            </w:r>
          </w:p>
        </w:tc>
        <w:tc>
          <w:tcPr>
            <w:tcW w:w="1230" w:type="dxa"/>
          </w:tcPr>
          <w:p>
            <w:pPr>
              <w:pStyle w:val="TableParagraph"/>
              <w:ind w:left="119"/>
              <w:rPr>
                <w:sz w:val="20"/>
              </w:rPr>
            </w:pPr>
            <w:r>
              <w:rPr>
                <w:spacing w:val="-4"/>
                <w:sz w:val="20"/>
              </w:rPr>
              <w:t>1.57</w:t>
            </w:r>
          </w:p>
        </w:tc>
        <w:tc>
          <w:tcPr>
            <w:tcW w:w="1230" w:type="dxa"/>
          </w:tcPr>
          <w:p>
            <w:pPr>
              <w:pStyle w:val="TableParagraph"/>
              <w:ind w:left="119"/>
              <w:rPr>
                <w:sz w:val="20"/>
              </w:rPr>
            </w:pPr>
            <w:r>
              <w:rPr>
                <w:spacing w:val="-4"/>
                <w:sz w:val="20"/>
              </w:rPr>
              <w:t>1.57</w:t>
            </w:r>
          </w:p>
        </w:tc>
        <w:tc>
          <w:tcPr>
            <w:tcW w:w="1230" w:type="dxa"/>
          </w:tcPr>
          <w:p>
            <w:pPr>
              <w:pStyle w:val="TableParagraph"/>
              <w:ind w:left="118"/>
              <w:rPr>
                <w:sz w:val="20"/>
              </w:rPr>
            </w:pPr>
            <w:r>
              <w:rPr>
                <w:spacing w:val="-4"/>
                <w:sz w:val="20"/>
              </w:rPr>
              <w:t>1.57</w:t>
            </w:r>
          </w:p>
        </w:tc>
        <w:tc>
          <w:tcPr>
            <w:tcW w:w="1230" w:type="dxa"/>
          </w:tcPr>
          <w:p>
            <w:pPr>
              <w:pStyle w:val="TableParagraph"/>
              <w:ind w:left="117"/>
              <w:rPr>
                <w:sz w:val="20"/>
              </w:rPr>
            </w:pPr>
            <w:r>
              <w:rPr>
                <w:spacing w:val="-4"/>
                <w:sz w:val="20"/>
              </w:rPr>
              <w:t>1.58</w:t>
            </w:r>
          </w:p>
        </w:tc>
        <w:tc>
          <w:tcPr>
            <w:tcW w:w="1230" w:type="dxa"/>
          </w:tcPr>
          <w:p>
            <w:pPr>
              <w:pStyle w:val="TableParagraph"/>
              <w:ind w:left="117"/>
              <w:rPr>
                <w:sz w:val="20"/>
              </w:rPr>
            </w:pPr>
            <w:r>
              <w:rPr>
                <w:spacing w:val="-4"/>
                <w:sz w:val="20"/>
              </w:rPr>
              <w:t>1.59</w:t>
            </w:r>
          </w:p>
        </w:tc>
        <w:tc>
          <w:tcPr>
            <w:tcW w:w="2082" w:type="dxa"/>
            <w:tcBorders>
              <w:right w:val="nil"/>
            </w:tcBorders>
          </w:tcPr>
          <w:p>
            <w:pPr>
              <w:pStyle w:val="TableParagraph"/>
              <w:ind w:left="116"/>
              <w:rPr>
                <w:sz w:val="20"/>
              </w:rPr>
            </w:pPr>
            <w:r>
              <w:rPr>
                <w:spacing w:val="-4"/>
                <w:sz w:val="20"/>
              </w:rPr>
              <w:t>1.42</w:t>
            </w:r>
          </w:p>
        </w:tc>
      </w:tr>
      <w:tr>
        <w:trPr>
          <w:trHeight w:val="350" w:hRule="atLeast"/>
        </w:trPr>
        <w:tc>
          <w:tcPr>
            <w:tcW w:w="2452" w:type="dxa"/>
          </w:tcPr>
          <w:p>
            <w:pPr>
              <w:pStyle w:val="TableParagraph"/>
              <w:rPr>
                <w:sz w:val="20"/>
              </w:rPr>
            </w:pPr>
            <w:r>
              <w:rPr>
                <w:sz w:val="20"/>
              </w:rPr>
              <w:t>Quick </w:t>
            </w:r>
            <w:r>
              <w:rPr>
                <w:spacing w:val="-2"/>
                <w:sz w:val="20"/>
              </w:rPr>
              <w:t>Ratio</w:t>
            </w:r>
          </w:p>
        </w:tc>
        <w:tc>
          <w:tcPr>
            <w:tcW w:w="1230" w:type="dxa"/>
          </w:tcPr>
          <w:p>
            <w:pPr>
              <w:pStyle w:val="TableParagraph"/>
              <w:ind w:left="119"/>
              <w:rPr>
                <w:sz w:val="20"/>
              </w:rPr>
            </w:pPr>
            <w:r>
              <w:rPr>
                <w:spacing w:val="-4"/>
                <w:sz w:val="20"/>
              </w:rPr>
              <w:t>1.21</w:t>
            </w:r>
          </w:p>
        </w:tc>
        <w:tc>
          <w:tcPr>
            <w:tcW w:w="1230" w:type="dxa"/>
          </w:tcPr>
          <w:p>
            <w:pPr>
              <w:pStyle w:val="TableParagraph"/>
              <w:ind w:left="119"/>
              <w:rPr>
                <w:sz w:val="20"/>
              </w:rPr>
            </w:pPr>
            <w:r>
              <w:rPr>
                <w:spacing w:val="-4"/>
                <w:sz w:val="20"/>
              </w:rPr>
              <w:t>1.21</w:t>
            </w:r>
          </w:p>
        </w:tc>
        <w:tc>
          <w:tcPr>
            <w:tcW w:w="1230" w:type="dxa"/>
          </w:tcPr>
          <w:p>
            <w:pPr>
              <w:pStyle w:val="TableParagraph"/>
              <w:ind w:left="118"/>
              <w:rPr>
                <w:sz w:val="20"/>
              </w:rPr>
            </w:pPr>
            <w:r>
              <w:rPr>
                <w:spacing w:val="-4"/>
                <w:sz w:val="20"/>
              </w:rPr>
              <w:t>1.21</w:t>
            </w:r>
          </w:p>
        </w:tc>
        <w:tc>
          <w:tcPr>
            <w:tcW w:w="1230" w:type="dxa"/>
          </w:tcPr>
          <w:p>
            <w:pPr>
              <w:pStyle w:val="TableParagraph"/>
              <w:ind w:left="117"/>
              <w:rPr>
                <w:sz w:val="20"/>
              </w:rPr>
            </w:pPr>
            <w:r>
              <w:rPr>
                <w:spacing w:val="-4"/>
                <w:sz w:val="20"/>
              </w:rPr>
              <w:t>1.22</w:t>
            </w:r>
          </w:p>
        </w:tc>
        <w:tc>
          <w:tcPr>
            <w:tcW w:w="1230" w:type="dxa"/>
          </w:tcPr>
          <w:p>
            <w:pPr>
              <w:pStyle w:val="TableParagraph"/>
              <w:ind w:left="117"/>
              <w:rPr>
                <w:sz w:val="20"/>
              </w:rPr>
            </w:pPr>
            <w:r>
              <w:rPr>
                <w:spacing w:val="-4"/>
                <w:sz w:val="20"/>
              </w:rPr>
              <w:t>1.23</w:t>
            </w:r>
          </w:p>
        </w:tc>
        <w:tc>
          <w:tcPr>
            <w:tcW w:w="2082" w:type="dxa"/>
            <w:tcBorders>
              <w:right w:val="nil"/>
            </w:tcBorders>
          </w:tcPr>
          <w:p>
            <w:pPr>
              <w:pStyle w:val="TableParagraph"/>
              <w:ind w:left="116"/>
              <w:rPr>
                <w:sz w:val="20"/>
              </w:rPr>
            </w:pPr>
            <w:r>
              <w:rPr>
                <w:spacing w:val="-4"/>
                <w:sz w:val="20"/>
              </w:rPr>
              <w:t>0.95</w:t>
            </w:r>
          </w:p>
        </w:tc>
      </w:tr>
    </w:tbl>
    <w:p>
      <w:pPr>
        <w:pStyle w:val="TableParagraph"/>
        <w:spacing w:after="0"/>
        <w:rPr>
          <w:sz w:val="20"/>
        </w:rPr>
        <w:sectPr>
          <w:type w:val="continuous"/>
          <w:pgSz w:w="12240" w:h="15840"/>
          <w:pgMar w:top="1540" w:bottom="1499" w:left="1440" w:right="0"/>
        </w:sect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2"/>
        <w:gridCol w:w="1230"/>
        <w:gridCol w:w="1230"/>
        <w:gridCol w:w="1230"/>
        <w:gridCol w:w="1230"/>
        <w:gridCol w:w="1230"/>
        <w:gridCol w:w="2082"/>
      </w:tblGrid>
      <w:tr>
        <w:trPr>
          <w:trHeight w:val="350" w:hRule="atLeast"/>
        </w:trPr>
        <w:tc>
          <w:tcPr>
            <w:tcW w:w="2452" w:type="dxa"/>
          </w:tcPr>
          <w:p>
            <w:pPr>
              <w:pStyle w:val="TableParagraph"/>
              <w:rPr>
                <w:sz w:val="20"/>
              </w:rPr>
            </w:pPr>
            <w:r>
              <w:rPr>
                <w:sz w:val="20"/>
              </w:rPr>
              <w:t>Cash </w:t>
            </w:r>
            <w:r>
              <w:rPr>
                <w:spacing w:val="-2"/>
                <w:sz w:val="20"/>
              </w:rPr>
              <w:t>Ratio</w:t>
            </w:r>
          </w:p>
        </w:tc>
        <w:tc>
          <w:tcPr>
            <w:tcW w:w="1230" w:type="dxa"/>
          </w:tcPr>
          <w:p>
            <w:pPr>
              <w:pStyle w:val="TableParagraph"/>
              <w:ind w:left="119"/>
              <w:rPr>
                <w:sz w:val="20"/>
              </w:rPr>
            </w:pPr>
            <w:r>
              <w:rPr>
                <w:spacing w:val="-4"/>
                <w:sz w:val="20"/>
              </w:rPr>
              <w:t>1.03</w:t>
            </w:r>
          </w:p>
        </w:tc>
        <w:tc>
          <w:tcPr>
            <w:tcW w:w="1230" w:type="dxa"/>
          </w:tcPr>
          <w:p>
            <w:pPr>
              <w:pStyle w:val="TableParagraph"/>
              <w:ind w:left="119"/>
              <w:rPr>
                <w:sz w:val="20"/>
              </w:rPr>
            </w:pPr>
            <w:r>
              <w:rPr>
                <w:spacing w:val="-4"/>
                <w:sz w:val="20"/>
              </w:rPr>
              <w:t>1.03</w:t>
            </w:r>
          </w:p>
        </w:tc>
        <w:tc>
          <w:tcPr>
            <w:tcW w:w="1230" w:type="dxa"/>
          </w:tcPr>
          <w:p>
            <w:pPr>
              <w:pStyle w:val="TableParagraph"/>
              <w:ind w:left="118"/>
              <w:rPr>
                <w:sz w:val="20"/>
              </w:rPr>
            </w:pPr>
            <w:r>
              <w:rPr>
                <w:spacing w:val="-4"/>
                <w:sz w:val="20"/>
              </w:rPr>
              <w:t>1.03</w:t>
            </w:r>
          </w:p>
        </w:tc>
        <w:tc>
          <w:tcPr>
            <w:tcW w:w="1230" w:type="dxa"/>
          </w:tcPr>
          <w:p>
            <w:pPr>
              <w:pStyle w:val="TableParagraph"/>
              <w:ind w:left="117"/>
              <w:rPr>
                <w:sz w:val="20"/>
              </w:rPr>
            </w:pPr>
            <w:r>
              <w:rPr>
                <w:spacing w:val="-4"/>
                <w:sz w:val="20"/>
              </w:rPr>
              <w:t>1.04</w:t>
            </w:r>
          </w:p>
        </w:tc>
        <w:tc>
          <w:tcPr>
            <w:tcW w:w="1230" w:type="dxa"/>
          </w:tcPr>
          <w:p>
            <w:pPr>
              <w:pStyle w:val="TableParagraph"/>
              <w:ind w:left="117"/>
              <w:rPr>
                <w:sz w:val="20"/>
              </w:rPr>
            </w:pPr>
            <w:r>
              <w:rPr>
                <w:spacing w:val="-4"/>
                <w:sz w:val="20"/>
              </w:rPr>
              <w:t>1.06</w:t>
            </w:r>
          </w:p>
        </w:tc>
        <w:tc>
          <w:tcPr>
            <w:tcW w:w="2082" w:type="dxa"/>
            <w:tcBorders>
              <w:right w:val="nil"/>
            </w:tcBorders>
          </w:tcPr>
          <w:p>
            <w:pPr>
              <w:pStyle w:val="TableParagraph"/>
              <w:ind w:left="116"/>
              <w:rPr>
                <w:sz w:val="20"/>
              </w:rPr>
            </w:pPr>
            <w:r>
              <w:rPr>
                <w:spacing w:val="-4"/>
                <w:sz w:val="20"/>
              </w:rPr>
              <w:t>0.68</w:t>
            </w:r>
          </w:p>
        </w:tc>
      </w:tr>
      <w:tr>
        <w:trPr>
          <w:trHeight w:val="350" w:hRule="atLeast"/>
        </w:trPr>
        <w:tc>
          <w:tcPr>
            <w:tcW w:w="2452" w:type="dxa"/>
          </w:tcPr>
          <w:p>
            <w:pPr>
              <w:pStyle w:val="TableParagraph"/>
              <w:rPr>
                <w:sz w:val="20"/>
              </w:rPr>
            </w:pPr>
            <w:r>
              <w:rPr>
                <w:sz w:val="20"/>
              </w:rPr>
              <w:t>Defensive Interval </w:t>
            </w:r>
            <w:r>
              <w:rPr>
                <w:spacing w:val="-2"/>
                <w:sz w:val="20"/>
              </w:rPr>
              <w:t>(days)</w:t>
            </w:r>
          </w:p>
        </w:tc>
        <w:tc>
          <w:tcPr>
            <w:tcW w:w="1230" w:type="dxa"/>
          </w:tcPr>
          <w:p>
            <w:pPr>
              <w:pStyle w:val="TableParagraph"/>
              <w:ind w:left="119"/>
              <w:rPr>
                <w:sz w:val="20"/>
              </w:rPr>
            </w:pPr>
            <w:r>
              <w:rPr>
                <w:spacing w:val="-5"/>
                <w:sz w:val="20"/>
              </w:rPr>
              <w:t>151</w:t>
            </w:r>
          </w:p>
        </w:tc>
        <w:tc>
          <w:tcPr>
            <w:tcW w:w="1230" w:type="dxa"/>
          </w:tcPr>
          <w:p>
            <w:pPr>
              <w:pStyle w:val="TableParagraph"/>
              <w:ind w:left="119"/>
              <w:rPr>
                <w:sz w:val="20"/>
              </w:rPr>
            </w:pPr>
            <w:r>
              <w:rPr>
                <w:spacing w:val="-5"/>
                <w:sz w:val="20"/>
              </w:rPr>
              <w:t>143</w:t>
            </w:r>
          </w:p>
        </w:tc>
        <w:tc>
          <w:tcPr>
            <w:tcW w:w="1230" w:type="dxa"/>
          </w:tcPr>
          <w:p>
            <w:pPr>
              <w:pStyle w:val="TableParagraph"/>
              <w:ind w:left="118"/>
              <w:rPr>
                <w:sz w:val="20"/>
              </w:rPr>
            </w:pPr>
            <w:r>
              <w:rPr>
                <w:spacing w:val="-5"/>
                <w:sz w:val="20"/>
              </w:rPr>
              <w:t>138</w:t>
            </w:r>
          </w:p>
        </w:tc>
        <w:tc>
          <w:tcPr>
            <w:tcW w:w="1230" w:type="dxa"/>
          </w:tcPr>
          <w:p>
            <w:pPr>
              <w:pStyle w:val="TableParagraph"/>
              <w:ind w:left="117"/>
              <w:rPr>
                <w:sz w:val="20"/>
              </w:rPr>
            </w:pPr>
            <w:r>
              <w:rPr>
                <w:spacing w:val="-5"/>
                <w:sz w:val="20"/>
              </w:rPr>
              <w:t>132</w:t>
            </w:r>
          </w:p>
        </w:tc>
        <w:tc>
          <w:tcPr>
            <w:tcW w:w="1230" w:type="dxa"/>
          </w:tcPr>
          <w:p>
            <w:pPr>
              <w:pStyle w:val="TableParagraph"/>
              <w:ind w:left="117"/>
              <w:rPr>
                <w:sz w:val="20"/>
              </w:rPr>
            </w:pPr>
            <w:r>
              <w:rPr>
                <w:spacing w:val="-5"/>
                <w:sz w:val="20"/>
              </w:rPr>
              <w:t>128</w:t>
            </w:r>
          </w:p>
        </w:tc>
        <w:tc>
          <w:tcPr>
            <w:tcW w:w="2082" w:type="dxa"/>
            <w:tcBorders>
              <w:right w:val="nil"/>
            </w:tcBorders>
          </w:tcPr>
          <w:p>
            <w:pPr>
              <w:pStyle w:val="TableParagraph"/>
              <w:ind w:left="116"/>
              <w:rPr>
                <w:sz w:val="20"/>
              </w:rPr>
            </w:pPr>
            <w:r>
              <w:rPr>
                <w:spacing w:val="-5"/>
                <w:sz w:val="20"/>
              </w:rPr>
              <w:t>105</w:t>
            </w:r>
          </w:p>
        </w:tc>
      </w:tr>
    </w:tbl>
    <w:p>
      <w:pPr>
        <w:pStyle w:val="BodyText"/>
        <w:spacing w:before="258"/>
        <w:rPr>
          <w:rFonts w:ascii="Arial"/>
          <w:b/>
        </w:rPr>
      </w:pPr>
    </w:p>
    <w:p>
      <w:pPr>
        <w:spacing w:line="208" w:lineRule="auto" w:before="0"/>
        <w:ind w:left="120" w:right="1633" w:firstLine="0"/>
        <w:jc w:val="left"/>
        <w:rPr>
          <w:rFonts w:ascii="Arial"/>
          <w:i/>
          <w:sz w:val="24"/>
        </w:rPr>
      </w:pPr>
      <w:r>
        <w:rPr>
          <w:rFonts w:ascii="Arial"/>
          <w:i/>
          <w:sz w:val="24"/>
        </w:rPr>
        <w:t>Source:</w:t>
      </w:r>
      <w:r>
        <w:rPr>
          <w:rFonts w:ascii="Arial"/>
          <w:i/>
          <w:spacing w:val="-4"/>
          <w:sz w:val="24"/>
        </w:rPr>
        <w:t> </w:t>
      </w:r>
      <w:r>
        <w:rPr>
          <w:rFonts w:ascii="Arial"/>
          <w:i/>
          <w:sz w:val="24"/>
        </w:rPr>
        <w:t>RIL</w:t>
      </w:r>
      <w:r>
        <w:rPr>
          <w:rFonts w:ascii="Arial"/>
          <w:i/>
          <w:spacing w:val="-4"/>
          <w:sz w:val="24"/>
        </w:rPr>
        <w:t> </w:t>
      </w:r>
      <w:r>
        <w:rPr>
          <w:rFonts w:ascii="Arial"/>
          <w:i/>
          <w:sz w:val="24"/>
        </w:rPr>
        <w:t>Annual</w:t>
      </w:r>
      <w:r>
        <w:rPr>
          <w:rFonts w:ascii="Arial"/>
          <w:i/>
          <w:spacing w:val="-4"/>
          <w:sz w:val="24"/>
        </w:rPr>
        <w:t> </w:t>
      </w:r>
      <w:r>
        <w:rPr>
          <w:rFonts w:ascii="Arial"/>
          <w:i/>
          <w:sz w:val="24"/>
        </w:rPr>
        <w:t>Reports</w:t>
      </w:r>
      <w:r>
        <w:rPr>
          <w:rFonts w:ascii="Arial"/>
          <w:i/>
          <w:spacing w:val="-4"/>
          <w:sz w:val="24"/>
        </w:rPr>
        <w:t> </w:t>
      </w:r>
      <w:r>
        <w:rPr>
          <w:rFonts w:ascii="Arial"/>
          <w:i/>
          <w:sz w:val="24"/>
        </w:rPr>
        <w:t>FY2020-21</w:t>
      </w:r>
      <w:r>
        <w:rPr>
          <w:rFonts w:ascii="Arial"/>
          <w:i/>
          <w:spacing w:val="-4"/>
          <w:sz w:val="24"/>
        </w:rPr>
        <w:t> </w:t>
      </w:r>
      <w:r>
        <w:rPr>
          <w:rFonts w:ascii="Arial"/>
          <w:i/>
          <w:sz w:val="24"/>
        </w:rPr>
        <w:t>to</w:t>
      </w:r>
      <w:r>
        <w:rPr>
          <w:rFonts w:ascii="Arial"/>
          <w:i/>
          <w:spacing w:val="-4"/>
          <w:sz w:val="24"/>
        </w:rPr>
        <w:t> </w:t>
      </w:r>
      <w:r>
        <w:rPr>
          <w:rFonts w:ascii="Arial"/>
          <w:i/>
          <w:sz w:val="24"/>
        </w:rPr>
        <w:t>FY2024-25;</w:t>
      </w:r>
      <w:r>
        <w:rPr>
          <w:rFonts w:ascii="Arial"/>
          <w:i/>
          <w:spacing w:val="-4"/>
          <w:sz w:val="24"/>
        </w:rPr>
        <w:t> </w:t>
      </w:r>
      <w:r>
        <w:rPr>
          <w:rFonts w:ascii="Arial"/>
          <w:i/>
          <w:sz w:val="24"/>
        </w:rPr>
        <w:t>Industry</w:t>
      </w:r>
      <w:r>
        <w:rPr>
          <w:rFonts w:ascii="Arial"/>
          <w:i/>
          <w:spacing w:val="-4"/>
          <w:sz w:val="24"/>
        </w:rPr>
        <w:t> </w:t>
      </w:r>
      <w:r>
        <w:rPr>
          <w:rFonts w:ascii="Arial"/>
          <w:i/>
          <w:sz w:val="24"/>
        </w:rPr>
        <w:t>data</w:t>
      </w:r>
      <w:r>
        <w:rPr>
          <w:rFonts w:ascii="Arial"/>
          <w:i/>
          <w:spacing w:val="-4"/>
          <w:sz w:val="24"/>
        </w:rPr>
        <w:t> </w:t>
      </w:r>
      <w:r>
        <w:rPr>
          <w:rFonts w:ascii="Arial"/>
          <w:i/>
          <w:sz w:val="24"/>
        </w:rPr>
        <w:t>from</w:t>
      </w:r>
      <w:r>
        <w:rPr>
          <w:rFonts w:ascii="Arial"/>
          <w:i/>
          <w:spacing w:val="-4"/>
          <w:sz w:val="24"/>
        </w:rPr>
        <w:t> </w:t>
      </w:r>
      <w:r>
        <w:rPr>
          <w:rFonts w:ascii="Arial"/>
          <w:i/>
          <w:sz w:val="24"/>
        </w:rPr>
        <w:t>S&amp;P; Capital IQ</w:t>
      </w:r>
    </w:p>
    <w:p>
      <w:pPr>
        <w:pStyle w:val="BodyText"/>
        <w:spacing w:before="14"/>
        <w:rPr>
          <w:rFonts w:ascii="Arial"/>
          <w:i/>
        </w:rPr>
      </w:pPr>
    </w:p>
    <w:p>
      <w:pPr>
        <w:pStyle w:val="Heading4"/>
      </w:pPr>
      <w:r>
        <w:rPr/>
        <w:t>Key </w:t>
      </w:r>
      <w:r>
        <w:rPr>
          <w:spacing w:val="-2"/>
        </w:rPr>
        <w:t>Observations:</w:t>
      </w:r>
    </w:p>
    <w:p>
      <w:pPr>
        <w:pStyle w:val="BodyText"/>
        <w:spacing w:before="38"/>
        <w:rPr>
          <w:rFonts w:ascii="Arial"/>
          <w:b/>
        </w:rPr>
      </w:pPr>
    </w:p>
    <w:p>
      <w:pPr>
        <w:pStyle w:val="ListParagraph"/>
        <w:numPr>
          <w:ilvl w:val="0"/>
          <w:numId w:val="17"/>
        </w:numPr>
        <w:tabs>
          <w:tab w:pos="386" w:val="left" w:leader="none"/>
        </w:tabs>
        <w:spacing w:line="208" w:lineRule="auto" w:before="0" w:after="0"/>
        <w:ind w:left="120" w:right="1979" w:firstLine="0"/>
        <w:jc w:val="left"/>
        <w:rPr>
          <w:sz w:val="24"/>
        </w:rPr>
      </w:pPr>
      <w:r>
        <w:rPr>
          <w:rFonts w:ascii="Arial"/>
          <w:b/>
          <w:sz w:val="24"/>
        </w:rPr>
        <w:t>Current Ratio Stability: </w:t>
      </w:r>
      <w:r>
        <w:rPr>
          <w:sz w:val="24"/>
        </w:rPr>
        <w:t>RIL maintained a relatively stable current ratio around 1.57-1.59</w:t>
      </w:r>
      <w:r>
        <w:rPr>
          <w:spacing w:val="-5"/>
          <w:sz w:val="24"/>
        </w:rPr>
        <w:t> </w:t>
      </w:r>
      <w:r>
        <w:rPr>
          <w:sz w:val="24"/>
        </w:rPr>
        <w:t>throughout</w:t>
      </w:r>
      <w:r>
        <w:rPr>
          <w:spacing w:val="-5"/>
          <w:sz w:val="24"/>
        </w:rPr>
        <w:t> </w:t>
      </w:r>
      <w:r>
        <w:rPr>
          <w:sz w:val="24"/>
        </w:rPr>
        <w:t>the</w:t>
      </w:r>
      <w:r>
        <w:rPr>
          <w:spacing w:val="-5"/>
          <w:sz w:val="24"/>
        </w:rPr>
        <w:t> </w:t>
      </w:r>
      <w:r>
        <w:rPr>
          <w:sz w:val="24"/>
        </w:rPr>
        <w:t>study</w:t>
      </w:r>
      <w:r>
        <w:rPr>
          <w:spacing w:val="-5"/>
          <w:sz w:val="24"/>
        </w:rPr>
        <w:t> </w:t>
      </w:r>
      <w:r>
        <w:rPr>
          <w:sz w:val="24"/>
        </w:rPr>
        <w:t>period,</w:t>
      </w:r>
      <w:r>
        <w:rPr>
          <w:spacing w:val="-5"/>
          <w:sz w:val="24"/>
        </w:rPr>
        <w:t> </w:t>
      </w:r>
      <w:r>
        <w:rPr>
          <w:sz w:val="24"/>
        </w:rPr>
        <w:t>indicating</w:t>
      </w:r>
      <w:r>
        <w:rPr>
          <w:spacing w:val="-5"/>
          <w:sz w:val="24"/>
        </w:rPr>
        <w:t> </w:t>
      </w:r>
      <w:r>
        <w:rPr>
          <w:sz w:val="24"/>
        </w:rPr>
        <w:t>consistent</w:t>
      </w:r>
      <w:r>
        <w:rPr>
          <w:spacing w:val="-5"/>
          <w:sz w:val="24"/>
        </w:rPr>
        <w:t> </w:t>
      </w:r>
      <w:r>
        <w:rPr>
          <w:sz w:val="24"/>
        </w:rPr>
        <w:t>liquidity</w:t>
      </w:r>
      <w:r>
        <w:rPr>
          <w:spacing w:val="-5"/>
          <w:sz w:val="24"/>
        </w:rPr>
        <w:t> </w:t>
      </w:r>
      <w:r>
        <w:rPr>
          <w:sz w:val="24"/>
        </w:rPr>
        <w:t>management. This ratio is above the industry average of 1.42, suggesting stronger short-term solvency than peers.</w:t>
      </w:r>
    </w:p>
    <w:p>
      <w:pPr>
        <w:pStyle w:val="BodyText"/>
        <w:spacing w:before="43"/>
      </w:pPr>
    </w:p>
    <w:p>
      <w:pPr>
        <w:pStyle w:val="ListParagraph"/>
        <w:numPr>
          <w:ilvl w:val="0"/>
          <w:numId w:val="17"/>
        </w:numPr>
        <w:tabs>
          <w:tab w:pos="386" w:val="left" w:leader="none"/>
        </w:tabs>
        <w:spacing w:line="208" w:lineRule="auto" w:before="0" w:after="0"/>
        <w:ind w:left="120" w:right="1967" w:firstLine="0"/>
        <w:jc w:val="left"/>
        <w:rPr>
          <w:sz w:val="24"/>
        </w:rPr>
      </w:pPr>
      <w:r>
        <w:rPr>
          <w:rFonts w:ascii="Arial"/>
          <w:b/>
          <w:sz w:val="24"/>
        </w:rPr>
        <w:t>Quick Ratio Strength: </w:t>
      </w:r>
      <w:r>
        <w:rPr>
          <w:sz w:val="24"/>
        </w:rPr>
        <w:t>The quick ratio remained consistently above 1.2, significantly higher than the industry average of 0.95. This indicates that RIL can comfortably</w:t>
      </w:r>
      <w:r>
        <w:rPr>
          <w:spacing w:val="-2"/>
          <w:sz w:val="24"/>
        </w:rPr>
        <w:t> </w:t>
      </w:r>
      <w:r>
        <w:rPr>
          <w:sz w:val="24"/>
        </w:rPr>
        <w:t>meet its short-term obligations without relying on inventory </w:t>
      </w:r>
      <w:r>
        <w:rPr>
          <w:spacing w:val="-2"/>
          <w:sz w:val="24"/>
        </w:rPr>
        <w:t>liquidation.</w:t>
      </w:r>
    </w:p>
    <w:p>
      <w:pPr>
        <w:pStyle w:val="BodyText"/>
        <w:spacing w:before="44"/>
      </w:pPr>
    </w:p>
    <w:p>
      <w:pPr>
        <w:pStyle w:val="ListParagraph"/>
        <w:numPr>
          <w:ilvl w:val="0"/>
          <w:numId w:val="17"/>
        </w:numPr>
        <w:tabs>
          <w:tab w:pos="386" w:val="left" w:leader="none"/>
        </w:tabs>
        <w:spacing w:line="208" w:lineRule="auto" w:before="0" w:after="0"/>
        <w:ind w:left="120" w:right="1615" w:firstLine="0"/>
        <w:jc w:val="left"/>
        <w:rPr>
          <w:sz w:val="24"/>
        </w:rPr>
      </w:pPr>
      <w:r>
        <w:rPr>
          <w:rFonts w:ascii="Arial"/>
          <w:b/>
          <w:sz w:val="24"/>
        </w:rPr>
        <w:t>Cash</w:t>
      </w:r>
      <w:r>
        <w:rPr>
          <w:rFonts w:ascii="Arial"/>
          <w:b/>
          <w:spacing w:val="-4"/>
          <w:sz w:val="24"/>
        </w:rPr>
        <w:t> </w:t>
      </w:r>
      <w:r>
        <w:rPr>
          <w:rFonts w:ascii="Arial"/>
          <w:b/>
          <w:sz w:val="24"/>
        </w:rPr>
        <w:t>Ratio</w:t>
      </w:r>
      <w:r>
        <w:rPr>
          <w:rFonts w:ascii="Arial"/>
          <w:b/>
          <w:spacing w:val="-4"/>
          <w:sz w:val="24"/>
        </w:rPr>
        <w:t> </w:t>
      </w:r>
      <w:r>
        <w:rPr>
          <w:rFonts w:ascii="Arial"/>
          <w:b/>
          <w:sz w:val="24"/>
        </w:rPr>
        <w:t>Advantage:</w:t>
      </w:r>
      <w:r>
        <w:rPr>
          <w:rFonts w:ascii="Arial"/>
          <w:b/>
          <w:spacing w:val="-4"/>
          <w:sz w:val="24"/>
        </w:rPr>
        <w:t> </w:t>
      </w:r>
      <w:r>
        <w:rPr>
          <w:sz w:val="24"/>
        </w:rPr>
        <w:t>RIL's</w:t>
      </w:r>
      <w:r>
        <w:rPr>
          <w:spacing w:val="-4"/>
          <w:sz w:val="24"/>
        </w:rPr>
        <w:t> </w:t>
      </w:r>
      <w:r>
        <w:rPr>
          <w:sz w:val="24"/>
        </w:rPr>
        <w:t>cash</w:t>
      </w:r>
      <w:r>
        <w:rPr>
          <w:spacing w:val="-4"/>
          <w:sz w:val="24"/>
        </w:rPr>
        <w:t> </w:t>
      </w:r>
      <w:r>
        <w:rPr>
          <w:sz w:val="24"/>
        </w:rPr>
        <w:t>ratio</w:t>
      </w:r>
      <w:r>
        <w:rPr>
          <w:spacing w:val="-4"/>
          <w:sz w:val="24"/>
        </w:rPr>
        <w:t> </w:t>
      </w:r>
      <w:r>
        <w:rPr>
          <w:sz w:val="24"/>
        </w:rPr>
        <w:t>exceeding</w:t>
      </w:r>
      <w:r>
        <w:rPr>
          <w:spacing w:val="-4"/>
          <w:sz w:val="24"/>
        </w:rPr>
        <w:t> </w:t>
      </w:r>
      <w:r>
        <w:rPr>
          <w:sz w:val="24"/>
        </w:rPr>
        <w:t>1.0</w:t>
      </w:r>
      <w:r>
        <w:rPr>
          <w:spacing w:val="-4"/>
          <w:sz w:val="24"/>
        </w:rPr>
        <w:t> </w:t>
      </w:r>
      <w:r>
        <w:rPr>
          <w:sz w:val="24"/>
        </w:rPr>
        <w:t>is</w:t>
      </w:r>
      <w:r>
        <w:rPr>
          <w:spacing w:val="-4"/>
          <w:sz w:val="24"/>
        </w:rPr>
        <w:t> </w:t>
      </w:r>
      <w:r>
        <w:rPr>
          <w:sz w:val="24"/>
        </w:rPr>
        <w:t>particularly</w:t>
      </w:r>
      <w:r>
        <w:rPr>
          <w:spacing w:val="-4"/>
          <w:sz w:val="24"/>
        </w:rPr>
        <w:t> </w:t>
      </w:r>
      <w:r>
        <w:rPr>
          <w:sz w:val="24"/>
        </w:rPr>
        <w:t>notable,</w:t>
      </w:r>
      <w:r>
        <w:rPr>
          <w:spacing w:val="-4"/>
          <w:sz w:val="24"/>
        </w:rPr>
        <w:t> </w:t>
      </w:r>
      <w:r>
        <w:rPr>
          <w:sz w:val="24"/>
        </w:rPr>
        <w:t>as</w:t>
      </w:r>
      <w:r>
        <w:rPr>
          <w:spacing w:val="-4"/>
          <w:sz w:val="24"/>
        </w:rPr>
        <w:t> </w:t>
      </w:r>
      <w:r>
        <w:rPr>
          <w:sz w:val="24"/>
        </w:rPr>
        <w:t>it demonstrates that the company can cover its entire current liabilities using only its most liquid assets (cash, cash equivalents, and short-term investments). This is substantially higher than the industry average of 0.68.</w:t>
      </w:r>
    </w:p>
    <w:p>
      <w:pPr>
        <w:pStyle w:val="BodyText"/>
        <w:spacing w:before="44"/>
      </w:pPr>
    </w:p>
    <w:p>
      <w:pPr>
        <w:pStyle w:val="ListParagraph"/>
        <w:numPr>
          <w:ilvl w:val="0"/>
          <w:numId w:val="17"/>
        </w:numPr>
        <w:tabs>
          <w:tab w:pos="386" w:val="left" w:leader="none"/>
        </w:tabs>
        <w:spacing w:line="208" w:lineRule="auto" w:before="0" w:after="0"/>
        <w:ind w:left="120" w:right="1940" w:firstLine="0"/>
        <w:jc w:val="left"/>
        <w:rPr>
          <w:sz w:val="24"/>
        </w:rPr>
      </w:pPr>
      <w:r>
        <w:rPr>
          <w:rFonts w:ascii="Arial"/>
          <w:b/>
          <w:sz w:val="24"/>
        </w:rPr>
        <w:t>Defensive Interval Trend: </w:t>
      </w:r>
      <w:r>
        <w:rPr>
          <w:sz w:val="24"/>
        </w:rPr>
        <w:t>While still strong at 128 days in FY2024-25, the defensive interval (measuring how long the company could operate using only its current liquid assets) has been gradually decreasing. This suggests a shift toward more efficient utilization of liquid assets rather than maintaining excessive </w:t>
      </w:r>
      <w:r>
        <w:rPr>
          <w:spacing w:val="-2"/>
          <w:sz w:val="24"/>
        </w:rPr>
        <w:t>liquidity.</w:t>
      </w:r>
    </w:p>
    <w:p>
      <w:pPr>
        <w:pStyle w:val="BodyText"/>
        <w:spacing w:before="14"/>
      </w:pPr>
    </w:p>
    <w:p>
      <w:pPr>
        <w:pStyle w:val="BodyText"/>
        <w:spacing w:before="0"/>
        <w:ind w:left="120"/>
      </w:pPr>
      <w:r>
        <w:rPr/>
        <w:t>Figure 5.3 illustrates the trends in RIL's liquidity ratios compared to industry </w:t>
      </w:r>
      <w:r>
        <w:rPr>
          <w:spacing w:val="-2"/>
        </w:rPr>
        <w:t>averages:</w:t>
      </w:r>
    </w:p>
    <w:p>
      <w:pPr>
        <w:pStyle w:val="BodyText"/>
        <w:spacing w:before="50"/>
      </w:pPr>
    </w:p>
    <w:p>
      <w:pPr>
        <w:pStyle w:val="Heading3"/>
        <w:spacing w:before="1"/>
        <w:ind w:left="120" w:firstLine="0"/>
      </w:pPr>
      <w:r>
        <w:rPr/>
        <w:t>Figure 5.3: Liquidity Ratios vs Industry </w:t>
      </w:r>
      <w:r>
        <w:rPr>
          <w:spacing w:val="-2"/>
        </w:rPr>
        <w:t>Averages</w:t>
      </w:r>
    </w:p>
    <w:p>
      <w:pPr>
        <w:pStyle w:val="BodyText"/>
        <w:spacing w:before="1"/>
        <w:rPr>
          <w:rFonts w:ascii="Arial"/>
          <w:b/>
          <w:i/>
          <w:sz w:val="9"/>
        </w:rPr>
      </w:pPr>
      <w:r>
        <w:rPr>
          <w:rFonts w:ascii="Arial"/>
          <w:b/>
          <w:i/>
          <w:sz w:val="9"/>
        </w:rPr>
        <w:drawing>
          <wp:anchor distT="0" distB="0" distL="0" distR="0" allowOverlap="1" layoutInCell="1" locked="0" behindDoc="1" simplePos="0" relativeHeight="487589888">
            <wp:simplePos x="0" y="0"/>
            <wp:positionH relativeFrom="page">
              <wp:posOffset>1230782</wp:posOffset>
            </wp:positionH>
            <wp:positionV relativeFrom="paragraph">
              <wp:posOffset>81640</wp:posOffset>
            </wp:positionV>
            <wp:extent cx="5321808" cy="259003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321808" cy="2590038"/>
                    </a:xfrm>
                    <a:prstGeom prst="rect">
                      <a:avLst/>
                    </a:prstGeom>
                  </pic:spPr>
                </pic:pic>
              </a:graphicData>
            </a:graphic>
          </wp:anchor>
        </w:drawing>
      </w:r>
    </w:p>
    <w:p>
      <w:pPr>
        <w:pStyle w:val="BodyText"/>
        <w:spacing w:after="0"/>
        <w:rPr>
          <w:rFonts w:ascii="Arial"/>
          <w:b/>
          <w:i/>
          <w:sz w:val="9"/>
        </w:rPr>
        <w:sectPr>
          <w:type w:val="continuous"/>
          <w:pgSz w:w="12240" w:h="15840"/>
          <w:pgMar w:top="1540" w:bottom="280" w:left="1440" w:right="0"/>
        </w:sectPr>
      </w:pPr>
    </w:p>
    <w:p>
      <w:pPr>
        <w:pStyle w:val="ListParagraph"/>
        <w:numPr>
          <w:ilvl w:val="2"/>
          <w:numId w:val="3"/>
        </w:numPr>
        <w:tabs>
          <w:tab w:pos="820" w:val="left" w:leader="none"/>
        </w:tabs>
        <w:spacing w:line="240" w:lineRule="auto" w:before="77" w:after="0"/>
        <w:ind w:left="820" w:right="0" w:hanging="700"/>
        <w:jc w:val="left"/>
        <w:rPr>
          <w:rFonts w:ascii="Arial"/>
          <w:b/>
          <w:i/>
          <w:sz w:val="28"/>
        </w:rPr>
      </w:pPr>
      <w:r>
        <w:rPr>
          <w:rFonts w:ascii="Arial"/>
          <w:b/>
          <w:i/>
          <w:sz w:val="28"/>
        </w:rPr>
        <w:t>Cash Conversion Cycle </w:t>
      </w:r>
      <w:r>
        <w:rPr>
          <w:rFonts w:ascii="Arial"/>
          <w:b/>
          <w:i/>
          <w:spacing w:val="-2"/>
          <w:sz w:val="28"/>
        </w:rPr>
        <w:t>Analysis</w:t>
      </w:r>
    </w:p>
    <w:p>
      <w:pPr>
        <w:pStyle w:val="BodyText"/>
        <w:spacing w:before="276"/>
        <w:ind w:left="120"/>
      </w:pPr>
      <w:r>
        <w:rPr/>
        <w:t>Table 5.5 presents RIL's cash conversion cycle components over the study </w:t>
      </w:r>
      <w:r>
        <w:rPr>
          <w:spacing w:val="-2"/>
        </w:rPr>
        <w:t>period:</w:t>
      </w:r>
    </w:p>
    <w:p>
      <w:pPr>
        <w:pStyle w:val="BodyText"/>
        <w:spacing w:before="7"/>
      </w:pPr>
    </w:p>
    <w:p>
      <w:pPr>
        <w:pStyle w:val="Heading4"/>
        <w:spacing w:before="1"/>
      </w:pPr>
      <w:r>
        <w:rPr/>
        <w:t>Table 5.5: Cash Conversion Cycle Analysis (FY2020-21 to FY2024-</w:t>
      </w:r>
      <w:r>
        <w:rPr>
          <w:spacing w:val="-5"/>
        </w:rPr>
        <w:t>25)</w:t>
      </w:r>
    </w:p>
    <w:p>
      <w:pPr>
        <w:pStyle w:val="BodyText"/>
        <w:spacing w:before="6"/>
        <w:rPr>
          <w:rFonts w:ascii="Arial"/>
          <w:b/>
          <w:sz w:val="12"/>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0"/>
        <w:gridCol w:w="1229"/>
        <w:gridCol w:w="1229"/>
        <w:gridCol w:w="1229"/>
        <w:gridCol w:w="1229"/>
        <w:gridCol w:w="1229"/>
        <w:gridCol w:w="1203"/>
      </w:tblGrid>
      <w:tr>
        <w:trPr>
          <w:trHeight w:val="350" w:hRule="atLeast"/>
        </w:trPr>
        <w:tc>
          <w:tcPr>
            <w:tcW w:w="3330" w:type="dxa"/>
            <w:shd w:val="clear" w:color="auto" w:fill="D3D3D3"/>
          </w:tcPr>
          <w:p>
            <w:pPr>
              <w:pStyle w:val="TableParagraph"/>
              <w:ind w:left="1070"/>
              <w:rPr>
                <w:sz w:val="20"/>
              </w:rPr>
            </w:pPr>
            <w:r>
              <w:rPr>
                <w:sz w:val="20"/>
              </w:rPr>
              <w:t>Metric </w:t>
            </w:r>
            <w:r>
              <w:rPr>
                <w:spacing w:val="-2"/>
                <w:sz w:val="20"/>
              </w:rPr>
              <w:t>(Days)</w:t>
            </w:r>
          </w:p>
        </w:tc>
        <w:tc>
          <w:tcPr>
            <w:tcW w:w="1229" w:type="dxa"/>
            <w:shd w:val="clear" w:color="auto" w:fill="D3D3D3"/>
          </w:tcPr>
          <w:p>
            <w:pPr>
              <w:pStyle w:val="TableParagraph"/>
              <w:rPr>
                <w:sz w:val="20"/>
              </w:rPr>
            </w:pPr>
            <w:r>
              <w:rPr>
                <w:sz w:val="20"/>
              </w:rPr>
              <w:t>FY2020-</w:t>
            </w:r>
            <w:r>
              <w:rPr>
                <w:spacing w:val="-5"/>
                <w:sz w:val="20"/>
              </w:rPr>
              <w:t>21</w:t>
            </w:r>
          </w:p>
        </w:tc>
        <w:tc>
          <w:tcPr>
            <w:tcW w:w="1229" w:type="dxa"/>
            <w:shd w:val="clear" w:color="auto" w:fill="D3D3D3"/>
          </w:tcPr>
          <w:p>
            <w:pPr>
              <w:pStyle w:val="TableParagraph"/>
              <w:rPr>
                <w:sz w:val="20"/>
              </w:rPr>
            </w:pPr>
            <w:r>
              <w:rPr>
                <w:sz w:val="20"/>
              </w:rPr>
              <w:t>FY2021-</w:t>
            </w:r>
            <w:r>
              <w:rPr>
                <w:spacing w:val="-5"/>
                <w:sz w:val="20"/>
              </w:rPr>
              <w:t>22</w:t>
            </w:r>
          </w:p>
        </w:tc>
        <w:tc>
          <w:tcPr>
            <w:tcW w:w="1229" w:type="dxa"/>
            <w:shd w:val="clear" w:color="auto" w:fill="D3D3D3"/>
          </w:tcPr>
          <w:p>
            <w:pPr>
              <w:pStyle w:val="TableParagraph"/>
              <w:rPr>
                <w:sz w:val="20"/>
              </w:rPr>
            </w:pPr>
            <w:r>
              <w:rPr>
                <w:sz w:val="20"/>
              </w:rPr>
              <w:t>FY2022-</w:t>
            </w:r>
            <w:r>
              <w:rPr>
                <w:spacing w:val="-5"/>
                <w:sz w:val="20"/>
              </w:rPr>
              <w:t>23</w:t>
            </w:r>
          </w:p>
        </w:tc>
        <w:tc>
          <w:tcPr>
            <w:tcW w:w="1229" w:type="dxa"/>
            <w:shd w:val="clear" w:color="auto" w:fill="D3D3D3"/>
          </w:tcPr>
          <w:p>
            <w:pPr>
              <w:pStyle w:val="TableParagraph"/>
              <w:ind w:left="121"/>
              <w:rPr>
                <w:sz w:val="20"/>
              </w:rPr>
            </w:pPr>
            <w:r>
              <w:rPr>
                <w:sz w:val="20"/>
              </w:rPr>
              <w:t>FY2023-</w:t>
            </w:r>
            <w:r>
              <w:rPr>
                <w:spacing w:val="-5"/>
                <w:sz w:val="20"/>
              </w:rPr>
              <w:t>24</w:t>
            </w:r>
          </w:p>
        </w:tc>
        <w:tc>
          <w:tcPr>
            <w:tcW w:w="1229" w:type="dxa"/>
            <w:shd w:val="clear" w:color="auto" w:fill="D3D3D3"/>
          </w:tcPr>
          <w:p>
            <w:pPr>
              <w:pStyle w:val="TableParagraph"/>
              <w:ind w:left="121"/>
              <w:rPr>
                <w:sz w:val="20"/>
              </w:rPr>
            </w:pPr>
            <w:r>
              <w:rPr>
                <w:sz w:val="20"/>
              </w:rPr>
              <w:t>FY2024-</w:t>
            </w:r>
            <w:r>
              <w:rPr>
                <w:spacing w:val="-5"/>
                <w:sz w:val="20"/>
              </w:rPr>
              <w:t>25</w:t>
            </w:r>
          </w:p>
        </w:tc>
        <w:tc>
          <w:tcPr>
            <w:tcW w:w="1203" w:type="dxa"/>
            <w:tcBorders>
              <w:right w:val="nil"/>
            </w:tcBorders>
            <w:shd w:val="clear" w:color="auto" w:fill="D3D3D3"/>
          </w:tcPr>
          <w:p>
            <w:pPr>
              <w:pStyle w:val="TableParagraph"/>
              <w:ind w:left="122" w:right="-15"/>
              <w:rPr>
                <w:sz w:val="20"/>
              </w:rPr>
            </w:pPr>
            <w:r>
              <w:rPr>
                <w:sz w:val="20"/>
              </w:rPr>
              <w:t>Change </w:t>
            </w:r>
            <w:r>
              <w:rPr>
                <w:spacing w:val="-5"/>
                <w:sz w:val="20"/>
              </w:rPr>
              <w:t>(Da</w:t>
            </w:r>
          </w:p>
        </w:tc>
      </w:tr>
      <w:tr>
        <w:trPr>
          <w:trHeight w:val="350" w:hRule="atLeast"/>
        </w:trPr>
        <w:tc>
          <w:tcPr>
            <w:tcW w:w="3330" w:type="dxa"/>
          </w:tcPr>
          <w:p>
            <w:pPr>
              <w:pStyle w:val="TableParagraph"/>
              <w:rPr>
                <w:sz w:val="20"/>
              </w:rPr>
            </w:pPr>
            <w:r>
              <w:rPr>
                <w:sz w:val="20"/>
              </w:rPr>
              <w:t>Days Inventory Outstanding </w:t>
            </w:r>
            <w:r>
              <w:rPr>
                <w:spacing w:val="-2"/>
                <w:sz w:val="20"/>
              </w:rPr>
              <w:t>(DIO)</w:t>
            </w:r>
          </w:p>
        </w:tc>
        <w:tc>
          <w:tcPr>
            <w:tcW w:w="1229" w:type="dxa"/>
          </w:tcPr>
          <w:p>
            <w:pPr>
              <w:pStyle w:val="TableParagraph"/>
              <w:rPr>
                <w:sz w:val="20"/>
              </w:rPr>
            </w:pPr>
            <w:r>
              <w:rPr>
                <w:spacing w:val="-4"/>
                <w:sz w:val="20"/>
              </w:rPr>
              <w:t>78.4</w:t>
            </w:r>
          </w:p>
        </w:tc>
        <w:tc>
          <w:tcPr>
            <w:tcW w:w="1229" w:type="dxa"/>
          </w:tcPr>
          <w:p>
            <w:pPr>
              <w:pStyle w:val="TableParagraph"/>
              <w:rPr>
                <w:sz w:val="20"/>
              </w:rPr>
            </w:pPr>
            <w:r>
              <w:rPr>
                <w:spacing w:val="-4"/>
                <w:sz w:val="20"/>
              </w:rPr>
              <w:t>75.2</w:t>
            </w:r>
          </w:p>
        </w:tc>
        <w:tc>
          <w:tcPr>
            <w:tcW w:w="1229" w:type="dxa"/>
          </w:tcPr>
          <w:p>
            <w:pPr>
              <w:pStyle w:val="TableParagraph"/>
              <w:rPr>
                <w:sz w:val="20"/>
              </w:rPr>
            </w:pPr>
            <w:r>
              <w:rPr>
                <w:spacing w:val="-4"/>
                <w:sz w:val="20"/>
              </w:rPr>
              <w:t>71.6</w:t>
            </w:r>
          </w:p>
        </w:tc>
        <w:tc>
          <w:tcPr>
            <w:tcW w:w="1229" w:type="dxa"/>
          </w:tcPr>
          <w:p>
            <w:pPr>
              <w:pStyle w:val="TableParagraph"/>
              <w:ind w:left="121"/>
              <w:rPr>
                <w:sz w:val="20"/>
              </w:rPr>
            </w:pPr>
            <w:r>
              <w:rPr>
                <w:spacing w:val="-4"/>
                <w:sz w:val="20"/>
              </w:rPr>
              <w:t>69.8</w:t>
            </w:r>
          </w:p>
        </w:tc>
        <w:tc>
          <w:tcPr>
            <w:tcW w:w="1229" w:type="dxa"/>
          </w:tcPr>
          <w:p>
            <w:pPr>
              <w:pStyle w:val="TableParagraph"/>
              <w:ind w:left="121"/>
              <w:rPr>
                <w:sz w:val="20"/>
              </w:rPr>
            </w:pPr>
            <w:r>
              <w:rPr>
                <w:spacing w:val="-4"/>
                <w:sz w:val="20"/>
              </w:rPr>
              <w:t>67.5</w:t>
            </w:r>
          </w:p>
        </w:tc>
        <w:tc>
          <w:tcPr>
            <w:tcW w:w="1203" w:type="dxa"/>
            <w:tcBorders>
              <w:right w:val="nil"/>
            </w:tcBorders>
          </w:tcPr>
          <w:p>
            <w:pPr>
              <w:pStyle w:val="TableParagraph"/>
              <w:ind w:left="122"/>
              <w:rPr>
                <w:sz w:val="20"/>
              </w:rPr>
            </w:pPr>
            <w:r>
              <w:rPr>
                <w:sz w:val="20"/>
              </w:rPr>
              <w:t>-</w:t>
            </w:r>
            <w:r>
              <w:rPr>
                <w:spacing w:val="-4"/>
                <w:sz w:val="20"/>
              </w:rPr>
              <w:t>10.9</w:t>
            </w:r>
          </w:p>
        </w:tc>
      </w:tr>
      <w:tr>
        <w:trPr>
          <w:trHeight w:val="350" w:hRule="atLeast"/>
        </w:trPr>
        <w:tc>
          <w:tcPr>
            <w:tcW w:w="3330" w:type="dxa"/>
          </w:tcPr>
          <w:p>
            <w:pPr>
              <w:pStyle w:val="TableParagraph"/>
              <w:rPr>
                <w:sz w:val="20"/>
              </w:rPr>
            </w:pPr>
            <w:r>
              <w:rPr>
                <w:sz w:val="20"/>
              </w:rPr>
              <w:t>Days Sales Outstanding </w:t>
            </w:r>
            <w:r>
              <w:rPr>
                <w:spacing w:val="-2"/>
                <w:sz w:val="20"/>
              </w:rPr>
              <w:t>(DSO)</w:t>
            </w:r>
          </w:p>
        </w:tc>
        <w:tc>
          <w:tcPr>
            <w:tcW w:w="1229" w:type="dxa"/>
          </w:tcPr>
          <w:p>
            <w:pPr>
              <w:pStyle w:val="TableParagraph"/>
              <w:rPr>
                <w:sz w:val="20"/>
              </w:rPr>
            </w:pPr>
            <w:r>
              <w:rPr>
                <w:spacing w:val="-4"/>
                <w:sz w:val="20"/>
              </w:rPr>
              <w:t>13.4</w:t>
            </w:r>
          </w:p>
        </w:tc>
        <w:tc>
          <w:tcPr>
            <w:tcW w:w="1229" w:type="dxa"/>
          </w:tcPr>
          <w:p>
            <w:pPr>
              <w:pStyle w:val="TableParagraph"/>
              <w:rPr>
                <w:sz w:val="20"/>
              </w:rPr>
            </w:pPr>
            <w:r>
              <w:rPr>
                <w:spacing w:val="-4"/>
                <w:sz w:val="20"/>
              </w:rPr>
              <w:t>12.9</w:t>
            </w:r>
          </w:p>
        </w:tc>
        <w:tc>
          <w:tcPr>
            <w:tcW w:w="1229" w:type="dxa"/>
          </w:tcPr>
          <w:p>
            <w:pPr>
              <w:pStyle w:val="TableParagraph"/>
              <w:rPr>
                <w:sz w:val="20"/>
              </w:rPr>
            </w:pPr>
            <w:r>
              <w:rPr>
                <w:spacing w:val="-4"/>
                <w:sz w:val="20"/>
              </w:rPr>
              <w:t>12.1</w:t>
            </w:r>
          </w:p>
        </w:tc>
        <w:tc>
          <w:tcPr>
            <w:tcW w:w="1229" w:type="dxa"/>
          </w:tcPr>
          <w:p>
            <w:pPr>
              <w:pStyle w:val="TableParagraph"/>
              <w:ind w:left="121"/>
              <w:rPr>
                <w:sz w:val="20"/>
              </w:rPr>
            </w:pPr>
            <w:r>
              <w:rPr>
                <w:spacing w:val="-4"/>
                <w:sz w:val="20"/>
              </w:rPr>
              <w:t>10.8</w:t>
            </w:r>
          </w:p>
        </w:tc>
        <w:tc>
          <w:tcPr>
            <w:tcW w:w="1229" w:type="dxa"/>
          </w:tcPr>
          <w:p>
            <w:pPr>
              <w:pStyle w:val="TableParagraph"/>
              <w:ind w:left="121"/>
              <w:rPr>
                <w:sz w:val="20"/>
              </w:rPr>
            </w:pPr>
            <w:r>
              <w:rPr>
                <w:spacing w:val="-4"/>
                <w:sz w:val="20"/>
              </w:rPr>
              <w:t>10.2</w:t>
            </w:r>
          </w:p>
        </w:tc>
        <w:tc>
          <w:tcPr>
            <w:tcW w:w="1203" w:type="dxa"/>
            <w:tcBorders>
              <w:right w:val="nil"/>
            </w:tcBorders>
          </w:tcPr>
          <w:p>
            <w:pPr>
              <w:pStyle w:val="TableParagraph"/>
              <w:ind w:left="122"/>
              <w:rPr>
                <w:sz w:val="20"/>
              </w:rPr>
            </w:pPr>
            <w:r>
              <w:rPr>
                <w:sz w:val="20"/>
              </w:rPr>
              <w:t>-</w:t>
            </w:r>
            <w:r>
              <w:rPr>
                <w:spacing w:val="-5"/>
                <w:sz w:val="20"/>
              </w:rPr>
              <w:t>3.2</w:t>
            </w:r>
          </w:p>
        </w:tc>
      </w:tr>
      <w:tr>
        <w:trPr>
          <w:trHeight w:val="350" w:hRule="atLeast"/>
        </w:trPr>
        <w:tc>
          <w:tcPr>
            <w:tcW w:w="3330" w:type="dxa"/>
          </w:tcPr>
          <w:p>
            <w:pPr>
              <w:pStyle w:val="TableParagraph"/>
              <w:rPr>
                <w:sz w:val="20"/>
              </w:rPr>
            </w:pPr>
            <w:r>
              <w:rPr>
                <w:sz w:val="20"/>
              </w:rPr>
              <w:t>Days Payables Outstanding </w:t>
            </w:r>
            <w:r>
              <w:rPr>
                <w:spacing w:val="-2"/>
                <w:sz w:val="20"/>
              </w:rPr>
              <w:t>(DPO)</w:t>
            </w:r>
          </w:p>
        </w:tc>
        <w:tc>
          <w:tcPr>
            <w:tcW w:w="1229" w:type="dxa"/>
          </w:tcPr>
          <w:p>
            <w:pPr>
              <w:pStyle w:val="TableParagraph"/>
              <w:rPr>
                <w:sz w:val="20"/>
              </w:rPr>
            </w:pPr>
            <w:r>
              <w:rPr>
                <w:spacing w:val="-4"/>
                <w:sz w:val="20"/>
              </w:rPr>
              <w:t>44.9</w:t>
            </w:r>
          </w:p>
        </w:tc>
        <w:tc>
          <w:tcPr>
            <w:tcW w:w="1229" w:type="dxa"/>
          </w:tcPr>
          <w:p>
            <w:pPr>
              <w:pStyle w:val="TableParagraph"/>
              <w:rPr>
                <w:sz w:val="20"/>
              </w:rPr>
            </w:pPr>
            <w:r>
              <w:rPr>
                <w:spacing w:val="-4"/>
                <w:sz w:val="20"/>
              </w:rPr>
              <w:t>47.1</w:t>
            </w:r>
          </w:p>
        </w:tc>
        <w:tc>
          <w:tcPr>
            <w:tcW w:w="1229" w:type="dxa"/>
          </w:tcPr>
          <w:p>
            <w:pPr>
              <w:pStyle w:val="TableParagraph"/>
              <w:rPr>
                <w:sz w:val="20"/>
              </w:rPr>
            </w:pPr>
            <w:r>
              <w:rPr>
                <w:spacing w:val="-4"/>
                <w:sz w:val="20"/>
              </w:rPr>
              <w:t>48.3</w:t>
            </w:r>
          </w:p>
        </w:tc>
        <w:tc>
          <w:tcPr>
            <w:tcW w:w="1229" w:type="dxa"/>
          </w:tcPr>
          <w:p>
            <w:pPr>
              <w:pStyle w:val="TableParagraph"/>
              <w:ind w:left="121"/>
              <w:rPr>
                <w:sz w:val="20"/>
              </w:rPr>
            </w:pPr>
            <w:r>
              <w:rPr>
                <w:spacing w:val="-4"/>
                <w:sz w:val="20"/>
              </w:rPr>
              <w:t>39.2</w:t>
            </w:r>
          </w:p>
        </w:tc>
        <w:tc>
          <w:tcPr>
            <w:tcW w:w="1229" w:type="dxa"/>
          </w:tcPr>
          <w:p>
            <w:pPr>
              <w:pStyle w:val="TableParagraph"/>
              <w:ind w:left="121"/>
              <w:rPr>
                <w:sz w:val="20"/>
              </w:rPr>
            </w:pPr>
            <w:r>
              <w:rPr>
                <w:spacing w:val="-4"/>
                <w:sz w:val="20"/>
              </w:rPr>
              <w:t>38.7</w:t>
            </w:r>
          </w:p>
        </w:tc>
        <w:tc>
          <w:tcPr>
            <w:tcW w:w="1203" w:type="dxa"/>
            <w:tcBorders>
              <w:right w:val="nil"/>
            </w:tcBorders>
          </w:tcPr>
          <w:p>
            <w:pPr>
              <w:pStyle w:val="TableParagraph"/>
              <w:ind w:left="122"/>
              <w:rPr>
                <w:sz w:val="20"/>
              </w:rPr>
            </w:pPr>
            <w:r>
              <w:rPr>
                <w:sz w:val="20"/>
              </w:rPr>
              <w:t>-</w:t>
            </w:r>
            <w:r>
              <w:rPr>
                <w:spacing w:val="-5"/>
                <w:sz w:val="20"/>
              </w:rPr>
              <w:t>6.2</w:t>
            </w:r>
          </w:p>
        </w:tc>
      </w:tr>
      <w:tr>
        <w:trPr>
          <w:trHeight w:val="350" w:hRule="atLeast"/>
        </w:trPr>
        <w:tc>
          <w:tcPr>
            <w:tcW w:w="3330" w:type="dxa"/>
          </w:tcPr>
          <w:p>
            <w:pPr>
              <w:pStyle w:val="TableParagraph"/>
              <w:rPr>
                <w:sz w:val="20"/>
              </w:rPr>
            </w:pPr>
            <w:r>
              <w:rPr>
                <w:sz w:val="20"/>
              </w:rPr>
              <w:t>Cash Conversion Cycle </w:t>
            </w:r>
            <w:r>
              <w:rPr>
                <w:spacing w:val="-2"/>
                <w:sz w:val="20"/>
              </w:rPr>
              <w:t>(CCC)</w:t>
            </w:r>
          </w:p>
        </w:tc>
        <w:tc>
          <w:tcPr>
            <w:tcW w:w="1229" w:type="dxa"/>
          </w:tcPr>
          <w:p>
            <w:pPr>
              <w:pStyle w:val="TableParagraph"/>
              <w:rPr>
                <w:sz w:val="20"/>
              </w:rPr>
            </w:pPr>
            <w:r>
              <w:rPr>
                <w:spacing w:val="-4"/>
                <w:sz w:val="20"/>
              </w:rPr>
              <w:t>46.9</w:t>
            </w:r>
          </w:p>
        </w:tc>
        <w:tc>
          <w:tcPr>
            <w:tcW w:w="1229" w:type="dxa"/>
          </w:tcPr>
          <w:p>
            <w:pPr>
              <w:pStyle w:val="TableParagraph"/>
              <w:rPr>
                <w:sz w:val="20"/>
              </w:rPr>
            </w:pPr>
            <w:r>
              <w:rPr>
                <w:spacing w:val="-4"/>
                <w:sz w:val="20"/>
              </w:rPr>
              <w:t>41.0</w:t>
            </w:r>
          </w:p>
        </w:tc>
        <w:tc>
          <w:tcPr>
            <w:tcW w:w="1229" w:type="dxa"/>
          </w:tcPr>
          <w:p>
            <w:pPr>
              <w:pStyle w:val="TableParagraph"/>
              <w:rPr>
                <w:sz w:val="20"/>
              </w:rPr>
            </w:pPr>
            <w:r>
              <w:rPr>
                <w:spacing w:val="-4"/>
                <w:sz w:val="20"/>
              </w:rPr>
              <w:t>35.4</w:t>
            </w:r>
          </w:p>
        </w:tc>
        <w:tc>
          <w:tcPr>
            <w:tcW w:w="1229" w:type="dxa"/>
          </w:tcPr>
          <w:p>
            <w:pPr>
              <w:pStyle w:val="TableParagraph"/>
              <w:ind w:left="121"/>
              <w:rPr>
                <w:sz w:val="20"/>
              </w:rPr>
            </w:pPr>
            <w:r>
              <w:rPr>
                <w:spacing w:val="-4"/>
                <w:sz w:val="20"/>
              </w:rPr>
              <w:t>41.4</w:t>
            </w:r>
          </w:p>
        </w:tc>
        <w:tc>
          <w:tcPr>
            <w:tcW w:w="1229" w:type="dxa"/>
          </w:tcPr>
          <w:p>
            <w:pPr>
              <w:pStyle w:val="TableParagraph"/>
              <w:ind w:left="121"/>
              <w:rPr>
                <w:sz w:val="20"/>
              </w:rPr>
            </w:pPr>
            <w:r>
              <w:rPr>
                <w:spacing w:val="-4"/>
                <w:sz w:val="20"/>
              </w:rPr>
              <w:t>39.0</w:t>
            </w:r>
          </w:p>
        </w:tc>
        <w:tc>
          <w:tcPr>
            <w:tcW w:w="1203" w:type="dxa"/>
            <w:tcBorders>
              <w:right w:val="nil"/>
            </w:tcBorders>
          </w:tcPr>
          <w:p>
            <w:pPr>
              <w:pStyle w:val="TableParagraph"/>
              <w:ind w:left="122"/>
              <w:rPr>
                <w:sz w:val="20"/>
              </w:rPr>
            </w:pPr>
            <w:r>
              <w:rPr>
                <w:sz w:val="20"/>
              </w:rPr>
              <w:t>-</w:t>
            </w:r>
            <w:r>
              <w:rPr>
                <w:spacing w:val="-5"/>
                <w:sz w:val="20"/>
              </w:rPr>
              <w:t>7.9</w:t>
            </w:r>
          </w:p>
        </w:tc>
      </w:tr>
      <w:tr>
        <w:trPr>
          <w:trHeight w:val="350" w:hRule="atLeast"/>
        </w:trPr>
        <w:tc>
          <w:tcPr>
            <w:tcW w:w="3330" w:type="dxa"/>
          </w:tcPr>
          <w:p>
            <w:pPr>
              <w:pStyle w:val="TableParagraph"/>
              <w:rPr>
                <w:sz w:val="20"/>
              </w:rPr>
            </w:pPr>
            <w:r>
              <w:rPr>
                <w:sz w:val="20"/>
              </w:rPr>
              <w:t>Cash Conversion Efficiency </w:t>
            </w:r>
            <w:r>
              <w:rPr>
                <w:spacing w:val="-5"/>
                <w:sz w:val="20"/>
              </w:rPr>
              <w:t>(%)</w:t>
            </w:r>
          </w:p>
        </w:tc>
        <w:tc>
          <w:tcPr>
            <w:tcW w:w="1229" w:type="dxa"/>
          </w:tcPr>
          <w:p>
            <w:pPr>
              <w:pStyle w:val="TableParagraph"/>
              <w:rPr>
                <w:sz w:val="20"/>
              </w:rPr>
            </w:pPr>
            <w:r>
              <w:rPr>
                <w:spacing w:val="-2"/>
                <w:sz w:val="20"/>
              </w:rPr>
              <w:t>15.2%</w:t>
            </w:r>
          </w:p>
        </w:tc>
        <w:tc>
          <w:tcPr>
            <w:tcW w:w="1229" w:type="dxa"/>
          </w:tcPr>
          <w:p>
            <w:pPr>
              <w:pStyle w:val="TableParagraph"/>
              <w:rPr>
                <w:sz w:val="20"/>
              </w:rPr>
            </w:pPr>
            <w:r>
              <w:rPr>
                <w:spacing w:val="-2"/>
                <w:sz w:val="20"/>
              </w:rPr>
              <w:t>16.3%</w:t>
            </w:r>
          </w:p>
        </w:tc>
        <w:tc>
          <w:tcPr>
            <w:tcW w:w="1229" w:type="dxa"/>
          </w:tcPr>
          <w:p>
            <w:pPr>
              <w:pStyle w:val="TableParagraph"/>
              <w:rPr>
                <w:sz w:val="20"/>
              </w:rPr>
            </w:pPr>
            <w:r>
              <w:rPr>
                <w:spacing w:val="-2"/>
                <w:sz w:val="20"/>
              </w:rPr>
              <w:t>17.8%</w:t>
            </w:r>
          </w:p>
        </w:tc>
        <w:tc>
          <w:tcPr>
            <w:tcW w:w="1229" w:type="dxa"/>
          </w:tcPr>
          <w:p>
            <w:pPr>
              <w:pStyle w:val="TableParagraph"/>
              <w:ind w:left="121"/>
              <w:rPr>
                <w:sz w:val="20"/>
              </w:rPr>
            </w:pPr>
            <w:r>
              <w:rPr>
                <w:spacing w:val="-2"/>
                <w:sz w:val="20"/>
              </w:rPr>
              <w:t>18.7%</w:t>
            </w:r>
          </w:p>
        </w:tc>
        <w:tc>
          <w:tcPr>
            <w:tcW w:w="1229" w:type="dxa"/>
          </w:tcPr>
          <w:p>
            <w:pPr>
              <w:pStyle w:val="TableParagraph"/>
              <w:ind w:left="121"/>
              <w:rPr>
                <w:sz w:val="20"/>
              </w:rPr>
            </w:pPr>
            <w:r>
              <w:rPr>
                <w:spacing w:val="-2"/>
                <w:sz w:val="20"/>
              </w:rPr>
              <w:t>19.5%</w:t>
            </w:r>
          </w:p>
        </w:tc>
        <w:tc>
          <w:tcPr>
            <w:tcW w:w="1203" w:type="dxa"/>
            <w:tcBorders>
              <w:right w:val="nil"/>
            </w:tcBorders>
          </w:tcPr>
          <w:p>
            <w:pPr>
              <w:pStyle w:val="TableParagraph"/>
              <w:ind w:left="122"/>
              <w:rPr>
                <w:sz w:val="20"/>
              </w:rPr>
            </w:pPr>
            <w:r>
              <w:rPr>
                <w:spacing w:val="-2"/>
                <w:sz w:val="20"/>
              </w:rPr>
              <w:t>+4.3%</w:t>
            </w:r>
          </w:p>
        </w:tc>
      </w:tr>
    </w:tbl>
    <w:p>
      <w:pPr>
        <w:pStyle w:val="BodyText"/>
        <w:spacing w:before="213"/>
        <w:rPr>
          <w:rFonts w:ascii="Arial"/>
          <w:b/>
        </w:rPr>
      </w:pPr>
    </w:p>
    <w:p>
      <w:pPr>
        <w:spacing w:before="1"/>
        <w:ind w:left="120" w:right="0" w:firstLine="0"/>
        <w:jc w:val="left"/>
        <w:rPr>
          <w:rFonts w:ascii="Arial"/>
          <w:i/>
          <w:sz w:val="24"/>
        </w:rPr>
      </w:pPr>
      <w:r>
        <w:rPr>
          <w:rFonts w:ascii="Arial"/>
          <w:i/>
          <w:sz w:val="24"/>
        </w:rPr>
        <w:t>Source: Calculated from RIL Annual Reports FY2020-21 to FY2024-</w:t>
      </w:r>
      <w:r>
        <w:rPr>
          <w:rFonts w:ascii="Arial"/>
          <w:i/>
          <w:spacing w:val="-5"/>
          <w:sz w:val="24"/>
        </w:rPr>
        <w:t>25</w:t>
      </w:r>
    </w:p>
    <w:p>
      <w:pPr>
        <w:pStyle w:val="BodyText"/>
        <w:spacing w:before="7"/>
        <w:rPr>
          <w:rFonts w:ascii="Arial"/>
          <w:i/>
        </w:rPr>
      </w:pPr>
    </w:p>
    <w:p>
      <w:pPr>
        <w:pStyle w:val="Heading4"/>
        <w:spacing w:before="1"/>
      </w:pPr>
      <w:r>
        <w:rPr/>
        <w:t>Key </w:t>
      </w:r>
      <w:r>
        <w:rPr>
          <w:spacing w:val="-2"/>
        </w:rPr>
        <w:t>Observations:</w:t>
      </w:r>
    </w:p>
    <w:p>
      <w:pPr>
        <w:pStyle w:val="BodyText"/>
        <w:spacing w:before="37"/>
        <w:rPr>
          <w:rFonts w:ascii="Arial"/>
          <w:b/>
        </w:rPr>
      </w:pPr>
    </w:p>
    <w:p>
      <w:pPr>
        <w:pStyle w:val="ListParagraph"/>
        <w:numPr>
          <w:ilvl w:val="0"/>
          <w:numId w:val="18"/>
        </w:numPr>
        <w:tabs>
          <w:tab w:pos="386" w:val="left" w:leader="none"/>
        </w:tabs>
        <w:spacing w:line="208" w:lineRule="auto" w:before="0" w:after="0"/>
        <w:ind w:left="120" w:right="1701" w:firstLine="0"/>
        <w:jc w:val="left"/>
        <w:rPr>
          <w:sz w:val="24"/>
        </w:rPr>
      </w:pPr>
      <w:r>
        <w:rPr>
          <w:rFonts w:ascii="Arial"/>
          <w:b/>
          <w:sz w:val="24"/>
        </w:rPr>
        <w:t>Improved</w:t>
      </w:r>
      <w:r>
        <w:rPr>
          <w:rFonts w:ascii="Arial"/>
          <w:b/>
          <w:spacing w:val="-6"/>
          <w:sz w:val="24"/>
        </w:rPr>
        <w:t> </w:t>
      </w:r>
      <w:r>
        <w:rPr>
          <w:rFonts w:ascii="Arial"/>
          <w:b/>
          <w:sz w:val="24"/>
        </w:rPr>
        <w:t>Inventory</w:t>
      </w:r>
      <w:r>
        <w:rPr>
          <w:rFonts w:ascii="Arial"/>
          <w:b/>
          <w:spacing w:val="-6"/>
          <w:sz w:val="24"/>
        </w:rPr>
        <w:t> </w:t>
      </w:r>
      <w:r>
        <w:rPr>
          <w:rFonts w:ascii="Arial"/>
          <w:b/>
          <w:sz w:val="24"/>
        </w:rPr>
        <w:t>Management:</w:t>
      </w:r>
      <w:r>
        <w:rPr>
          <w:rFonts w:ascii="Arial"/>
          <w:b/>
          <w:spacing w:val="-6"/>
          <w:sz w:val="24"/>
        </w:rPr>
        <w:t> </w:t>
      </w:r>
      <w:r>
        <w:rPr>
          <w:sz w:val="24"/>
        </w:rPr>
        <w:t>Days</w:t>
      </w:r>
      <w:r>
        <w:rPr>
          <w:spacing w:val="-6"/>
          <w:sz w:val="24"/>
        </w:rPr>
        <w:t> </w:t>
      </w:r>
      <w:r>
        <w:rPr>
          <w:sz w:val="24"/>
        </w:rPr>
        <w:t>Inventory</w:t>
      </w:r>
      <w:r>
        <w:rPr>
          <w:spacing w:val="-6"/>
          <w:sz w:val="24"/>
        </w:rPr>
        <w:t> </w:t>
      </w:r>
      <w:r>
        <w:rPr>
          <w:sz w:val="24"/>
        </w:rPr>
        <w:t>Outstanding</w:t>
      </w:r>
      <w:r>
        <w:rPr>
          <w:spacing w:val="-6"/>
          <w:sz w:val="24"/>
        </w:rPr>
        <w:t> </w:t>
      </w:r>
      <w:r>
        <w:rPr>
          <w:sz w:val="24"/>
        </w:rPr>
        <w:t>(DIO)</w:t>
      </w:r>
      <w:r>
        <w:rPr>
          <w:spacing w:val="-6"/>
          <w:sz w:val="24"/>
        </w:rPr>
        <w:t> </w:t>
      </w:r>
      <w:r>
        <w:rPr>
          <w:sz w:val="24"/>
        </w:rPr>
        <w:t>decreased significantly from 78.4 days in FY2020-21 to 67.5 days in FY2024-25, reflecting enhanced</w:t>
      </w:r>
      <w:r>
        <w:rPr>
          <w:spacing w:val="-2"/>
          <w:sz w:val="24"/>
        </w:rPr>
        <w:t> </w:t>
      </w:r>
      <w:r>
        <w:rPr>
          <w:sz w:val="24"/>
        </w:rPr>
        <w:t>inventory</w:t>
      </w:r>
      <w:r>
        <w:rPr>
          <w:spacing w:val="-2"/>
          <w:sz w:val="24"/>
        </w:rPr>
        <w:t> </w:t>
      </w:r>
      <w:r>
        <w:rPr>
          <w:sz w:val="24"/>
        </w:rPr>
        <w:t>management</w:t>
      </w:r>
      <w:r>
        <w:rPr>
          <w:spacing w:val="-2"/>
          <w:sz w:val="24"/>
        </w:rPr>
        <w:t> </w:t>
      </w:r>
      <w:r>
        <w:rPr>
          <w:sz w:val="24"/>
        </w:rPr>
        <w:t>practices.</w:t>
      </w:r>
      <w:r>
        <w:rPr>
          <w:spacing w:val="-2"/>
          <w:sz w:val="24"/>
        </w:rPr>
        <w:t> </w:t>
      </w:r>
      <w:r>
        <w:rPr>
          <w:sz w:val="24"/>
        </w:rPr>
        <w:t>This</w:t>
      </w:r>
      <w:r>
        <w:rPr>
          <w:spacing w:val="-2"/>
          <w:sz w:val="24"/>
        </w:rPr>
        <w:t> </w:t>
      </w:r>
      <w:r>
        <w:rPr>
          <w:sz w:val="24"/>
        </w:rPr>
        <w:t>improvement</w:t>
      </w:r>
      <w:r>
        <w:rPr>
          <w:spacing w:val="-2"/>
          <w:sz w:val="24"/>
        </w:rPr>
        <w:t> </w:t>
      </w:r>
      <w:r>
        <w:rPr>
          <w:sz w:val="24"/>
        </w:rPr>
        <w:t>is</w:t>
      </w:r>
      <w:r>
        <w:rPr>
          <w:spacing w:val="-2"/>
          <w:sz w:val="24"/>
        </w:rPr>
        <w:t> </w:t>
      </w:r>
      <w:r>
        <w:rPr>
          <w:sz w:val="24"/>
        </w:rPr>
        <w:t>particularly</w:t>
      </w:r>
      <w:r>
        <w:rPr>
          <w:spacing w:val="-2"/>
          <w:sz w:val="24"/>
        </w:rPr>
        <w:t> </w:t>
      </w:r>
      <w:r>
        <w:rPr>
          <w:sz w:val="24"/>
        </w:rPr>
        <w:t>notable in the retail segment, where advanced forecasting techniques and just-in-time inventory systems were implemented.</w:t>
      </w:r>
    </w:p>
    <w:p>
      <w:pPr>
        <w:pStyle w:val="BodyText"/>
        <w:spacing w:before="43"/>
      </w:pPr>
    </w:p>
    <w:p>
      <w:pPr>
        <w:pStyle w:val="ListParagraph"/>
        <w:numPr>
          <w:ilvl w:val="0"/>
          <w:numId w:val="18"/>
        </w:numPr>
        <w:tabs>
          <w:tab w:pos="386" w:val="left" w:leader="none"/>
        </w:tabs>
        <w:spacing w:line="208" w:lineRule="auto" w:before="0" w:after="0"/>
        <w:ind w:left="120" w:right="1647" w:firstLine="0"/>
        <w:jc w:val="left"/>
        <w:rPr>
          <w:sz w:val="24"/>
        </w:rPr>
      </w:pPr>
      <w:r>
        <w:rPr>
          <w:rFonts w:ascii="Arial"/>
          <w:b/>
          <w:sz w:val="24"/>
        </w:rPr>
        <w:t>Receivables</w:t>
      </w:r>
      <w:r>
        <w:rPr>
          <w:rFonts w:ascii="Arial"/>
          <w:b/>
          <w:spacing w:val="-5"/>
          <w:sz w:val="24"/>
        </w:rPr>
        <w:t> </w:t>
      </w:r>
      <w:r>
        <w:rPr>
          <w:rFonts w:ascii="Arial"/>
          <w:b/>
          <w:sz w:val="24"/>
        </w:rPr>
        <w:t>Efficiency:</w:t>
      </w:r>
      <w:r>
        <w:rPr>
          <w:rFonts w:ascii="Arial"/>
          <w:b/>
          <w:spacing w:val="-5"/>
          <w:sz w:val="24"/>
        </w:rPr>
        <w:t> </w:t>
      </w:r>
      <w:r>
        <w:rPr>
          <w:sz w:val="24"/>
        </w:rPr>
        <w:t>Days</w:t>
      </w:r>
      <w:r>
        <w:rPr>
          <w:spacing w:val="-5"/>
          <w:sz w:val="24"/>
        </w:rPr>
        <w:t> </w:t>
      </w:r>
      <w:r>
        <w:rPr>
          <w:sz w:val="24"/>
        </w:rPr>
        <w:t>Sales</w:t>
      </w:r>
      <w:r>
        <w:rPr>
          <w:spacing w:val="-5"/>
          <w:sz w:val="24"/>
        </w:rPr>
        <w:t> </w:t>
      </w:r>
      <w:r>
        <w:rPr>
          <w:sz w:val="24"/>
        </w:rPr>
        <w:t>Outstanding</w:t>
      </w:r>
      <w:r>
        <w:rPr>
          <w:spacing w:val="-5"/>
          <w:sz w:val="24"/>
        </w:rPr>
        <w:t> </w:t>
      </w:r>
      <w:r>
        <w:rPr>
          <w:sz w:val="24"/>
        </w:rPr>
        <w:t>(DSO)</w:t>
      </w:r>
      <w:r>
        <w:rPr>
          <w:spacing w:val="-5"/>
          <w:sz w:val="24"/>
        </w:rPr>
        <w:t> </w:t>
      </w:r>
      <w:r>
        <w:rPr>
          <w:sz w:val="24"/>
        </w:rPr>
        <w:t>improved</w:t>
      </w:r>
      <w:r>
        <w:rPr>
          <w:spacing w:val="-5"/>
          <w:sz w:val="24"/>
        </w:rPr>
        <w:t> </w:t>
      </w:r>
      <w:r>
        <w:rPr>
          <w:sz w:val="24"/>
        </w:rPr>
        <w:t>from</w:t>
      </w:r>
      <w:r>
        <w:rPr>
          <w:spacing w:val="-5"/>
          <w:sz w:val="24"/>
        </w:rPr>
        <w:t> </w:t>
      </w:r>
      <w:r>
        <w:rPr>
          <w:sz w:val="24"/>
        </w:rPr>
        <w:t>13.4</w:t>
      </w:r>
      <w:r>
        <w:rPr>
          <w:spacing w:val="-5"/>
          <w:sz w:val="24"/>
        </w:rPr>
        <w:t> </w:t>
      </w:r>
      <w:r>
        <w:rPr>
          <w:sz w:val="24"/>
        </w:rPr>
        <w:t>days to 10.2 days, indicating more effective credit management and collection practices. This is particularly impressive given RIL's expansion in consumer-facing businesses, which typically involve longer credit periods.</w:t>
      </w:r>
    </w:p>
    <w:p>
      <w:pPr>
        <w:pStyle w:val="BodyText"/>
        <w:spacing w:before="44"/>
      </w:pPr>
    </w:p>
    <w:p>
      <w:pPr>
        <w:pStyle w:val="ListParagraph"/>
        <w:numPr>
          <w:ilvl w:val="0"/>
          <w:numId w:val="18"/>
        </w:numPr>
        <w:tabs>
          <w:tab w:pos="386" w:val="left" w:leader="none"/>
        </w:tabs>
        <w:spacing w:line="208" w:lineRule="auto" w:before="0" w:after="0"/>
        <w:ind w:left="120" w:right="1713" w:firstLine="0"/>
        <w:jc w:val="left"/>
        <w:rPr>
          <w:sz w:val="24"/>
        </w:rPr>
      </w:pPr>
      <w:r>
        <w:rPr>
          <w:rFonts w:ascii="Arial"/>
          <w:b/>
          <w:sz w:val="24"/>
        </w:rPr>
        <w:t>Payables</w:t>
      </w:r>
      <w:r>
        <w:rPr>
          <w:rFonts w:ascii="Arial"/>
          <w:b/>
          <w:spacing w:val="-5"/>
          <w:sz w:val="24"/>
        </w:rPr>
        <w:t> </w:t>
      </w:r>
      <w:r>
        <w:rPr>
          <w:rFonts w:ascii="Arial"/>
          <w:b/>
          <w:sz w:val="24"/>
        </w:rPr>
        <w:t>Management:</w:t>
      </w:r>
      <w:r>
        <w:rPr>
          <w:rFonts w:ascii="Arial"/>
          <w:b/>
          <w:spacing w:val="-5"/>
          <w:sz w:val="24"/>
        </w:rPr>
        <w:t> </w:t>
      </w:r>
      <w:r>
        <w:rPr>
          <w:sz w:val="24"/>
        </w:rPr>
        <w:t>Days</w:t>
      </w:r>
      <w:r>
        <w:rPr>
          <w:spacing w:val="-5"/>
          <w:sz w:val="24"/>
        </w:rPr>
        <w:t> </w:t>
      </w:r>
      <w:r>
        <w:rPr>
          <w:sz w:val="24"/>
        </w:rPr>
        <w:t>Payables</w:t>
      </w:r>
      <w:r>
        <w:rPr>
          <w:spacing w:val="-5"/>
          <w:sz w:val="24"/>
        </w:rPr>
        <w:t> </w:t>
      </w:r>
      <w:r>
        <w:rPr>
          <w:sz w:val="24"/>
        </w:rPr>
        <w:t>Outstanding</w:t>
      </w:r>
      <w:r>
        <w:rPr>
          <w:spacing w:val="-5"/>
          <w:sz w:val="24"/>
        </w:rPr>
        <w:t> </w:t>
      </w:r>
      <w:r>
        <w:rPr>
          <w:sz w:val="24"/>
        </w:rPr>
        <w:t>(DPO)</w:t>
      </w:r>
      <w:r>
        <w:rPr>
          <w:spacing w:val="-5"/>
          <w:sz w:val="24"/>
        </w:rPr>
        <w:t> </w:t>
      </w:r>
      <w:r>
        <w:rPr>
          <w:sz w:val="24"/>
        </w:rPr>
        <w:t>decreased</w:t>
      </w:r>
      <w:r>
        <w:rPr>
          <w:spacing w:val="-5"/>
          <w:sz w:val="24"/>
        </w:rPr>
        <w:t> </w:t>
      </w:r>
      <w:r>
        <w:rPr>
          <w:sz w:val="24"/>
        </w:rPr>
        <w:t>from</w:t>
      </w:r>
      <w:r>
        <w:rPr>
          <w:spacing w:val="-5"/>
          <w:sz w:val="24"/>
        </w:rPr>
        <w:t> </w:t>
      </w:r>
      <w:r>
        <w:rPr>
          <w:sz w:val="24"/>
        </w:rPr>
        <w:t>44.9 days to 38.7 days over the study period. While a lower DPO generally indicates less favorable</w:t>
      </w:r>
      <w:r>
        <w:rPr>
          <w:spacing w:val="-3"/>
          <w:sz w:val="24"/>
        </w:rPr>
        <w:t> </w:t>
      </w:r>
      <w:r>
        <w:rPr>
          <w:sz w:val="24"/>
        </w:rPr>
        <w:t>working</w:t>
      </w:r>
      <w:r>
        <w:rPr>
          <w:spacing w:val="-3"/>
          <w:sz w:val="24"/>
        </w:rPr>
        <w:t> </w:t>
      </w:r>
      <w:r>
        <w:rPr>
          <w:sz w:val="24"/>
        </w:rPr>
        <w:t>capital</w:t>
      </w:r>
      <w:r>
        <w:rPr>
          <w:spacing w:val="-3"/>
          <w:sz w:val="24"/>
        </w:rPr>
        <w:t> </w:t>
      </w:r>
      <w:r>
        <w:rPr>
          <w:sz w:val="24"/>
        </w:rPr>
        <w:t>dynamics,</w:t>
      </w:r>
      <w:r>
        <w:rPr>
          <w:spacing w:val="-3"/>
          <w:sz w:val="24"/>
        </w:rPr>
        <w:t> </w:t>
      </w:r>
      <w:r>
        <w:rPr>
          <w:sz w:val="24"/>
        </w:rPr>
        <w:t>in</w:t>
      </w:r>
      <w:r>
        <w:rPr>
          <w:spacing w:val="-3"/>
          <w:sz w:val="24"/>
        </w:rPr>
        <w:t> </w:t>
      </w:r>
      <w:r>
        <w:rPr>
          <w:sz w:val="24"/>
        </w:rPr>
        <w:t>RIL's</w:t>
      </w:r>
      <w:r>
        <w:rPr>
          <w:spacing w:val="-3"/>
          <w:sz w:val="24"/>
        </w:rPr>
        <w:t> </w:t>
      </w:r>
      <w:r>
        <w:rPr>
          <w:sz w:val="24"/>
        </w:rPr>
        <w:t>case,</w:t>
      </w:r>
      <w:r>
        <w:rPr>
          <w:spacing w:val="-3"/>
          <w:sz w:val="24"/>
        </w:rPr>
        <w:t> </w:t>
      </w:r>
      <w:r>
        <w:rPr>
          <w:sz w:val="24"/>
        </w:rPr>
        <w:t>this</w:t>
      </w:r>
      <w:r>
        <w:rPr>
          <w:spacing w:val="-3"/>
          <w:sz w:val="24"/>
        </w:rPr>
        <w:t> </w:t>
      </w:r>
      <w:r>
        <w:rPr>
          <w:sz w:val="24"/>
        </w:rPr>
        <w:t>reflects</w:t>
      </w:r>
      <w:r>
        <w:rPr>
          <w:spacing w:val="-3"/>
          <w:sz w:val="24"/>
        </w:rPr>
        <w:t> </w:t>
      </w:r>
      <w:r>
        <w:rPr>
          <w:sz w:val="24"/>
        </w:rPr>
        <w:t>a</w:t>
      </w:r>
      <w:r>
        <w:rPr>
          <w:spacing w:val="-3"/>
          <w:sz w:val="24"/>
        </w:rPr>
        <w:t> </w:t>
      </w:r>
      <w:r>
        <w:rPr>
          <w:sz w:val="24"/>
        </w:rPr>
        <w:t>strategic</w:t>
      </w:r>
      <w:r>
        <w:rPr>
          <w:spacing w:val="-3"/>
          <w:sz w:val="24"/>
        </w:rPr>
        <w:t> </w:t>
      </w:r>
      <w:r>
        <w:rPr>
          <w:sz w:val="24"/>
        </w:rPr>
        <w:t>decision</w:t>
      </w:r>
      <w:r>
        <w:rPr>
          <w:spacing w:val="-3"/>
          <w:sz w:val="24"/>
        </w:rPr>
        <w:t> </w:t>
      </w:r>
      <w:r>
        <w:rPr>
          <w:sz w:val="24"/>
        </w:rPr>
        <w:t>to strengthen supplier relationships and potentially capture early payment discounts in certain business segments.</w:t>
      </w:r>
    </w:p>
    <w:p>
      <w:pPr>
        <w:pStyle w:val="BodyText"/>
        <w:spacing w:before="43"/>
      </w:pPr>
    </w:p>
    <w:p>
      <w:pPr>
        <w:pStyle w:val="ListParagraph"/>
        <w:numPr>
          <w:ilvl w:val="0"/>
          <w:numId w:val="18"/>
        </w:numPr>
        <w:tabs>
          <w:tab w:pos="386" w:val="left" w:leader="none"/>
        </w:tabs>
        <w:spacing w:line="208" w:lineRule="auto" w:before="1" w:after="0"/>
        <w:ind w:left="120" w:right="1659" w:firstLine="0"/>
        <w:jc w:val="left"/>
        <w:rPr>
          <w:sz w:val="24"/>
        </w:rPr>
      </w:pPr>
      <w:r>
        <w:rPr>
          <w:rFonts w:ascii="Arial"/>
          <w:b/>
          <w:sz w:val="24"/>
        </w:rPr>
        <w:t>Overall CCC Improvement: </w:t>
      </w:r>
      <w:r>
        <w:rPr>
          <w:sz w:val="24"/>
        </w:rPr>
        <w:t>RIL's Cash Conversion Cycle improved by 7.9 days over the five-year period, from 46.9 days to 39.0 days. This reflects the company's success</w:t>
      </w:r>
      <w:r>
        <w:rPr>
          <w:spacing w:val="-4"/>
          <w:sz w:val="24"/>
        </w:rPr>
        <w:t> </w:t>
      </w:r>
      <w:r>
        <w:rPr>
          <w:sz w:val="24"/>
        </w:rPr>
        <w:t>in</w:t>
      </w:r>
      <w:r>
        <w:rPr>
          <w:spacing w:val="-4"/>
          <w:sz w:val="24"/>
        </w:rPr>
        <w:t> </w:t>
      </w:r>
      <w:r>
        <w:rPr>
          <w:sz w:val="24"/>
        </w:rPr>
        <w:t>enhancing</w:t>
      </w:r>
      <w:r>
        <w:rPr>
          <w:spacing w:val="-4"/>
          <w:sz w:val="24"/>
        </w:rPr>
        <w:t> </w:t>
      </w:r>
      <w:r>
        <w:rPr>
          <w:sz w:val="24"/>
        </w:rPr>
        <w:t>working</w:t>
      </w:r>
      <w:r>
        <w:rPr>
          <w:spacing w:val="-4"/>
          <w:sz w:val="24"/>
        </w:rPr>
        <w:t> </w:t>
      </w:r>
      <w:r>
        <w:rPr>
          <w:sz w:val="24"/>
        </w:rPr>
        <w:t>capital</w:t>
      </w:r>
      <w:r>
        <w:rPr>
          <w:spacing w:val="-4"/>
          <w:sz w:val="24"/>
        </w:rPr>
        <w:t> </w:t>
      </w:r>
      <w:r>
        <w:rPr>
          <w:sz w:val="24"/>
        </w:rPr>
        <w:t>efficiency</w:t>
      </w:r>
      <w:r>
        <w:rPr>
          <w:spacing w:val="-4"/>
          <w:sz w:val="24"/>
        </w:rPr>
        <w:t> </w:t>
      </w:r>
      <w:r>
        <w:rPr>
          <w:sz w:val="24"/>
        </w:rPr>
        <w:t>through</w:t>
      </w:r>
      <w:r>
        <w:rPr>
          <w:spacing w:val="-4"/>
          <w:sz w:val="24"/>
        </w:rPr>
        <w:t> </w:t>
      </w:r>
      <w:r>
        <w:rPr>
          <w:sz w:val="24"/>
        </w:rPr>
        <w:t>faster</w:t>
      </w:r>
      <w:r>
        <w:rPr>
          <w:spacing w:val="-4"/>
          <w:sz w:val="24"/>
        </w:rPr>
        <w:t> </w:t>
      </w:r>
      <w:r>
        <w:rPr>
          <w:sz w:val="24"/>
        </w:rPr>
        <w:t>inventory</w:t>
      </w:r>
      <w:r>
        <w:rPr>
          <w:spacing w:val="-4"/>
          <w:sz w:val="24"/>
        </w:rPr>
        <w:t> </w:t>
      </w:r>
      <w:r>
        <w:rPr>
          <w:sz w:val="24"/>
        </w:rPr>
        <w:t>turnover</w:t>
      </w:r>
      <w:r>
        <w:rPr>
          <w:spacing w:val="-4"/>
          <w:sz w:val="24"/>
        </w:rPr>
        <w:t> </w:t>
      </w:r>
      <w:r>
        <w:rPr>
          <w:sz w:val="24"/>
        </w:rPr>
        <w:t>and receivables collection, despite the reduction in payment deferral period.</w:t>
      </w:r>
    </w:p>
    <w:p>
      <w:pPr>
        <w:pStyle w:val="BodyText"/>
        <w:spacing w:before="43"/>
      </w:pPr>
    </w:p>
    <w:p>
      <w:pPr>
        <w:pStyle w:val="ListParagraph"/>
        <w:numPr>
          <w:ilvl w:val="0"/>
          <w:numId w:val="18"/>
        </w:numPr>
        <w:tabs>
          <w:tab w:pos="386" w:val="left" w:leader="none"/>
        </w:tabs>
        <w:spacing w:line="208" w:lineRule="auto" w:before="0" w:after="0"/>
        <w:ind w:left="120" w:right="2353" w:firstLine="0"/>
        <w:jc w:val="left"/>
        <w:rPr>
          <w:sz w:val="24"/>
        </w:rPr>
      </w:pPr>
      <w:r>
        <w:rPr>
          <w:rFonts w:ascii="Arial"/>
          <w:b/>
          <w:sz w:val="24"/>
        </w:rPr>
        <w:t>Cash Conversion Efficiency: </w:t>
      </w:r>
      <w:r>
        <w:rPr>
          <w:sz w:val="24"/>
        </w:rPr>
        <w:t>The ratio of operating cash flow to revenue improved</w:t>
      </w:r>
      <w:r>
        <w:rPr>
          <w:spacing w:val="-4"/>
          <w:sz w:val="24"/>
        </w:rPr>
        <w:t> </w:t>
      </w:r>
      <w:r>
        <w:rPr>
          <w:sz w:val="24"/>
        </w:rPr>
        <w:t>from</w:t>
      </w:r>
      <w:r>
        <w:rPr>
          <w:spacing w:val="-4"/>
          <w:sz w:val="24"/>
        </w:rPr>
        <w:t> </w:t>
      </w:r>
      <w:r>
        <w:rPr>
          <w:sz w:val="24"/>
        </w:rPr>
        <w:t>15.2%</w:t>
      </w:r>
      <w:r>
        <w:rPr>
          <w:spacing w:val="-4"/>
          <w:sz w:val="24"/>
        </w:rPr>
        <w:t> </w:t>
      </w:r>
      <w:r>
        <w:rPr>
          <w:sz w:val="24"/>
        </w:rPr>
        <w:t>to</w:t>
      </w:r>
      <w:r>
        <w:rPr>
          <w:spacing w:val="-4"/>
          <w:sz w:val="24"/>
        </w:rPr>
        <w:t> </w:t>
      </w:r>
      <w:r>
        <w:rPr>
          <w:sz w:val="24"/>
        </w:rPr>
        <w:t>19.5%</w:t>
      </w:r>
      <w:r>
        <w:rPr>
          <w:spacing w:val="-4"/>
          <w:sz w:val="24"/>
        </w:rPr>
        <w:t> </w:t>
      </w:r>
      <w:r>
        <w:rPr>
          <w:sz w:val="24"/>
        </w:rPr>
        <w:t>over</w:t>
      </w:r>
      <w:r>
        <w:rPr>
          <w:spacing w:val="-4"/>
          <w:sz w:val="24"/>
        </w:rPr>
        <w:t> </w:t>
      </w:r>
      <w:r>
        <w:rPr>
          <w:sz w:val="24"/>
        </w:rPr>
        <w:t>the</w:t>
      </w:r>
      <w:r>
        <w:rPr>
          <w:spacing w:val="-4"/>
          <w:sz w:val="24"/>
        </w:rPr>
        <w:t> </w:t>
      </w:r>
      <w:r>
        <w:rPr>
          <w:sz w:val="24"/>
        </w:rPr>
        <w:t>study</w:t>
      </w:r>
      <w:r>
        <w:rPr>
          <w:spacing w:val="-4"/>
          <w:sz w:val="24"/>
        </w:rPr>
        <w:t> </w:t>
      </w:r>
      <w:r>
        <w:rPr>
          <w:sz w:val="24"/>
        </w:rPr>
        <w:t>period,</w:t>
      </w:r>
      <w:r>
        <w:rPr>
          <w:spacing w:val="-4"/>
          <w:sz w:val="24"/>
        </w:rPr>
        <w:t> </w:t>
      </w:r>
      <w:r>
        <w:rPr>
          <w:sz w:val="24"/>
        </w:rPr>
        <w:t>indicating</w:t>
      </w:r>
      <w:r>
        <w:rPr>
          <w:spacing w:val="-4"/>
          <w:sz w:val="24"/>
        </w:rPr>
        <w:t> </w:t>
      </w:r>
      <w:r>
        <w:rPr>
          <w:sz w:val="24"/>
        </w:rPr>
        <w:t>more</w:t>
      </w:r>
      <w:r>
        <w:rPr>
          <w:spacing w:val="-4"/>
          <w:sz w:val="24"/>
        </w:rPr>
        <w:t> </w:t>
      </w:r>
      <w:r>
        <w:rPr>
          <w:sz w:val="24"/>
        </w:rPr>
        <w:t>effective conversion of sales into cash flow.</w:t>
      </w:r>
    </w:p>
    <w:p>
      <w:pPr>
        <w:pStyle w:val="BodyText"/>
        <w:spacing w:before="15"/>
      </w:pPr>
    </w:p>
    <w:p>
      <w:pPr>
        <w:pStyle w:val="BodyText"/>
        <w:spacing w:before="0"/>
        <w:ind w:left="120"/>
      </w:pPr>
      <w:r>
        <w:rPr/>
        <w:t>Figure 5.4 illustrates the evolution of RIL's cash conversion cycle </w:t>
      </w:r>
      <w:r>
        <w:rPr>
          <w:spacing w:val="-2"/>
        </w:rPr>
        <w:t>components:</w:t>
      </w:r>
    </w:p>
    <w:p>
      <w:pPr>
        <w:pStyle w:val="BodyText"/>
        <w:spacing w:after="0"/>
        <w:sectPr>
          <w:pgSz w:w="12240" w:h="15840"/>
          <w:pgMar w:top="1780" w:bottom="280" w:left="1440" w:right="0"/>
        </w:sectPr>
      </w:pPr>
    </w:p>
    <w:p>
      <w:pPr>
        <w:pStyle w:val="Heading3"/>
        <w:spacing w:before="77"/>
        <w:ind w:left="120" w:firstLine="0"/>
      </w:pPr>
      <w:r>
        <w:rPr/>
        <w:t>Figure 5.4: Cash Conversion Cycle </w:t>
      </w:r>
      <w:r>
        <w:rPr>
          <w:spacing w:val="-2"/>
        </w:rPr>
        <w:t>Components</w:t>
      </w:r>
    </w:p>
    <w:p>
      <w:pPr>
        <w:pStyle w:val="BodyText"/>
        <w:spacing w:before="1"/>
        <w:rPr>
          <w:rFonts w:ascii="Arial"/>
          <w:b/>
          <w:i/>
          <w:sz w:val="9"/>
        </w:rPr>
      </w:pPr>
      <w:r>
        <w:rPr>
          <w:rFonts w:ascii="Arial"/>
          <w:b/>
          <w:i/>
          <w:sz w:val="9"/>
        </w:rPr>
        <w:drawing>
          <wp:anchor distT="0" distB="0" distL="0" distR="0" allowOverlap="1" layoutInCell="1" locked="0" behindDoc="1" simplePos="0" relativeHeight="487590400">
            <wp:simplePos x="0" y="0"/>
            <wp:positionH relativeFrom="page">
              <wp:posOffset>1233525</wp:posOffset>
            </wp:positionH>
            <wp:positionV relativeFrom="paragraph">
              <wp:posOffset>81932</wp:posOffset>
            </wp:positionV>
            <wp:extent cx="5319064" cy="259003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319064" cy="2590038"/>
                    </a:xfrm>
                    <a:prstGeom prst="rect">
                      <a:avLst/>
                    </a:prstGeom>
                  </pic:spPr>
                </pic:pic>
              </a:graphicData>
            </a:graphic>
          </wp:anchor>
        </w:drawing>
      </w:r>
    </w:p>
    <w:p>
      <w:pPr>
        <w:pStyle w:val="BodyText"/>
        <w:spacing w:before="108"/>
        <w:rPr>
          <w:rFonts w:ascii="Arial"/>
          <w:b/>
          <w:i/>
          <w:sz w:val="28"/>
        </w:rPr>
      </w:pPr>
    </w:p>
    <w:p>
      <w:pPr>
        <w:pStyle w:val="ListParagraph"/>
        <w:numPr>
          <w:ilvl w:val="2"/>
          <w:numId w:val="3"/>
        </w:numPr>
        <w:tabs>
          <w:tab w:pos="820" w:val="left" w:leader="none"/>
        </w:tabs>
        <w:spacing w:line="240" w:lineRule="auto" w:before="0" w:after="0"/>
        <w:ind w:left="820" w:right="0" w:hanging="700"/>
        <w:jc w:val="left"/>
        <w:rPr>
          <w:rFonts w:ascii="Arial"/>
          <w:b/>
          <w:i/>
          <w:sz w:val="28"/>
        </w:rPr>
      </w:pPr>
      <w:r>
        <w:rPr>
          <w:rFonts w:ascii="Arial"/>
          <w:b/>
          <w:i/>
          <w:sz w:val="28"/>
        </w:rPr>
        <w:t>Efficiency </w:t>
      </w:r>
      <w:r>
        <w:rPr>
          <w:rFonts w:ascii="Arial"/>
          <w:b/>
          <w:i/>
          <w:spacing w:val="-2"/>
          <w:sz w:val="28"/>
        </w:rPr>
        <w:t>Ratios</w:t>
      </w:r>
    </w:p>
    <w:p>
      <w:pPr>
        <w:pStyle w:val="BodyText"/>
        <w:spacing w:before="276"/>
        <w:ind w:left="120"/>
      </w:pPr>
      <w:r>
        <w:rPr/>
        <w:t>Table 5.6 presents RIL's working capital efficiency </w:t>
      </w:r>
      <w:r>
        <w:rPr>
          <w:spacing w:val="-2"/>
        </w:rPr>
        <w:t>ratios:</w:t>
      </w:r>
    </w:p>
    <w:p>
      <w:pPr>
        <w:pStyle w:val="BodyText"/>
        <w:spacing w:before="8"/>
      </w:pPr>
    </w:p>
    <w:p>
      <w:pPr>
        <w:pStyle w:val="Heading4"/>
      </w:pPr>
      <w:r>
        <w:rPr/>
        <w:t>Table 5.6: Working Capital Efficiency Ratios (FY2020-21 to FY2024-</w:t>
      </w:r>
      <w:r>
        <w:rPr>
          <w:spacing w:val="-5"/>
        </w:rPr>
        <w:t>25)</w:t>
      </w:r>
    </w:p>
    <w:p>
      <w:pPr>
        <w:pStyle w:val="BodyText"/>
        <w:spacing w:before="6"/>
        <w:rPr>
          <w:rFonts w:ascii="Arial"/>
          <w:b/>
          <w:sz w:val="12"/>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2"/>
        <w:gridCol w:w="1230"/>
        <w:gridCol w:w="1230"/>
        <w:gridCol w:w="1230"/>
        <w:gridCol w:w="1230"/>
        <w:gridCol w:w="1230"/>
        <w:gridCol w:w="1582"/>
      </w:tblGrid>
      <w:tr>
        <w:trPr>
          <w:trHeight w:val="350" w:hRule="atLeast"/>
        </w:trPr>
        <w:tc>
          <w:tcPr>
            <w:tcW w:w="2952" w:type="dxa"/>
            <w:shd w:val="clear" w:color="auto" w:fill="D3D3D3"/>
          </w:tcPr>
          <w:p>
            <w:pPr>
              <w:pStyle w:val="TableParagraph"/>
              <w:ind w:left="9"/>
              <w:jc w:val="center"/>
              <w:rPr>
                <w:sz w:val="20"/>
              </w:rPr>
            </w:pPr>
            <w:r>
              <w:rPr>
                <w:spacing w:val="-2"/>
                <w:sz w:val="20"/>
              </w:rPr>
              <w:t>Ratio</w:t>
            </w:r>
          </w:p>
        </w:tc>
        <w:tc>
          <w:tcPr>
            <w:tcW w:w="1230" w:type="dxa"/>
            <w:shd w:val="clear" w:color="auto" w:fill="D3D3D3"/>
          </w:tcPr>
          <w:p>
            <w:pPr>
              <w:pStyle w:val="TableParagraph"/>
              <w:ind w:left="119"/>
              <w:rPr>
                <w:sz w:val="20"/>
              </w:rPr>
            </w:pPr>
            <w:r>
              <w:rPr>
                <w:sz w:val="20"/>
              </w:rPr>
              <w:t>FY2020-</w:t>
            </w:r>
            <w:r>
              <w:rPr>
                <w:spacing w:val="-5"/>
                <w:sz w:val="20"/>
              </w:rPr>
              <w:t>21</w:t>
            </w:r>
          </w:p>
        </w:tc>
        <w:tc>
          <w:tcPr>
            <w:tcW w:w="1230" w:type="dxa"/>
            <w:shd w:val="clear" w:color="auto" w:fill="D3D3D3"/>
          </w:tcPr>
          <w:p>
            <w:pPr>
              <w:pStyle w:val="TableParagraph"/>
              <w:ind w:left="119"/>
              <w:rPr>
                <w:sz w:val="20"/>
              </w:rPr>
            </w:pPr>
            <w:r>
              <w:rPr>
                <w:sz w:val="20"/>
              </w:rPr>
              <w:t>FY2021-</w:t>
            </w:r>
            <w:r>
              <w:rPr>
                <w:spacing w:val="-5"/>
                <w:sz w:val="20"/>
              </w:rPr>
              <w:t>22</w:t>
            </w:r>
          </w:p>
        </w:tc>
        <w:tc>
          <w:tcPr>
            <w:tcW w:w="1230" w:type="dxa"/>
            <w:shd w:val="clear" w:color="auto" w:fill="D3D3D3"/>
          </w:tcPr>
          <w:p>
            <w:pPr>
              <w:pStyle w:val="TableParagraph"/>
              <w:ind w:left="118"/>
              <w:rPr>
                <w:sz w:val="20"/>
              </w:rPr>
            </w:pPr>
            <w:r>
              <w:rPr>
                <w:sz w:val="20"/>
              </w:rPr>
              <w:t>FY2022-</w:t>
            </w:r>
            <w:r>
              <w:rPr>
                <w:spacing w:val="-5"/>
                <w:sz w:val="20"/>
              </w:rPr>
              <w:t>23</w:t>
            </w:r>
          </w:p>
        </w:tc>
        <w:tc>
          <w:tcPr>
            <w:tcW w:w="1230" w:type="dxa"/>
            <w:shd w:val="clear" w:color="auto" w:fill="D3D3D3"/>
          </w:tcPr>
          <w:p>
            <w:pPr>
              <w:pStyle w:val="TableParagraph"/>
              <w:ind w:left="117"/>
              <w:rPr>
                <w:sz w:val="20"/>
              </w:rPr>
            </w:pPr>
            <w:r>
              <w:rPr>
                <w:sz w:val="20"/>
              </w:rPr>
              <w:t>FY2023-</w:t>
            </w:r>
            <w:r>
              <w:rPr>
                <w:spacing w:val="-5"/>
                <w:sz w:val="20"/>
              </w:rPr>
              <w:t>24</w:t>
            </w:r>
          </w:p>
        </w:tc>
        <w:tc>
          <w:tcPr>
            <w:tcW w:w="1230" w:type="dxa"/>
            <w:shd w:val="clear" w:color="auto" w:fill="D3D3D3"/>
          </w:tcPr>
          <w:p>
            <w:pPr>
              <w:pStyle w:val="TableParagraph"/>
              <w:ind w:left="117"/>
              <w:rPr>
                <w:sz w:val="20"/>
              </w:rPr>
            </w:pPr>
            <w:r>
              <w:rPr>
                <w:sz w:val="20"/>
              </w:rPr>
              <w:t>FY2024-</w:t>
            </w:r>
            <w:r>
              <w:rPr>
                <w:spacing w:val="-5"/>
                <w:sz w:val="20"/>
              </w:rPr>
              <w:t>25</w:t>
            </w:r>
          </w:p>
        </w:tc>
        <w:tc>
          <w:tcPr>
            <w:tcW w:w="1582" w:type="dxa"/>
            <w:tcBorders>
              <w:right w:val="nil"/>
            </w:tcBorders>
            <w:shd w:val="clear" w:color="auto" w:fill="D3D3D3"/>
          </w:tcPr>
          <w:p>
            <w:pPr>
              <w:pStyle w:val="TableParagraph"/>
              <w:ind w:left="116" w:right="-58"/>
              <w:rPr>
                <w:sz w:val="20"/>
              </w:rPr>
            </w:pPr>
            <w:r>
              <w:rPr>
                <w:sz w:val="20"/>
              </w:rPr>
              <w:t>Industry </w:t>
            </w:r>
            <w:r>
              <w:rPr>
                <w:spacing w:val="-2"/>
                <w:sz w:val="20"/>
              </w:rPr>
              <w:t>Average</w:t>
            </w:r>
          </w:p>
        </w:tc>
      </w:tr>
      <w:tr>
        <w:trPr>
          <w:trHeight w:val="350" w:hRule="atLeast"/>
        </w:trPr>
        <w:tc>
          <w:tcPr>
            <w:tcW w:w="2952" w:type="dxa"/>
          </w:tcPr>
          <w:p>
            <w:pPr>
              <w:pStyle w:val="TableParagraph"/>
              <w:rPr>
                <w:sz w:val="20"/>
              </w:rPr>
            </w:pPr>
            <w:r>
              <w:rPr>
                <w:sz w:val="20"/>
              </w:rPr>
              <w:t>Inventory </w:t>
            </w:r>
            <w:r>
              <w:rPr>
                <w:spacing w:val="-2"/>
                <w:sz w:val="20"/>
              </w:rPr>
              <w:t>Turnover</w:t>
            </w:r>
          </w:p>
        </w:tc>
        <w:tc>
          <w:tcPr>
            <w:tcW w:w="1230" w:type="dxa"/>
          </w:tcPr>
          <w:p>
            <w:pPr>
              <w:pStyle w:val="TableParagraph"/>
              <w:ind w:left="119"/>
              <w:rPr>
                <w:sz w:val="20"/>
              </w:rPr>
            </w:pPr>
            <w:r>
              <w:rPr>
                <w:spacing w:val="-4"/>
                <w:sz w:val="20"/>
              </w:rPr>
              <w:t>4.66</w:t>
            </w:r>
          </w:p>
        </w:tc>
        <w:tc>
          <w:tcPr>
            <w:tcW w:w="1230" w:type="dxa"/>
          </w:tcPr>
          <w:p>
            <w:pPr>
              <w:pStyle w:val="TableParagraph"/>
              <w:ind w:left="119"/>
              <w:rPr>
                <w:sz w:val="20"/>
              </w:rPr>
            </w:pPr>
            <w:r>
              <w:rPr>
                <w:spacing w:val="-4"/>
                <w:sz w:val="20"/>
              </w:rPr>
              <w:t>4.85</w:t>
            </w:r>
          </w:p>
        </w:tc>
        <w:tc>
          <w:tcPr>
            <w:tcW w:w="1230" w:type="dxa"/>
          </w:tcPr>
          <w:p>
            <w:pPr>
              <w:pStyle w:val="TableParagraph"/>
              <w:ind w:left="118"/>
              <w:rPr>
                <w:sz w:val="20"/>
              </w:rPr>
            </w:pPr>
            <w:r>
              <w:rPr>
                <w:spacing w:val="-4"/>
                <w:sz w:val="20"/>
              </w:rPr>
              <w:t>5.10</w:t>
            </w:r>
          </w:p>
        </w:tc>
        <w:tc>
          <w:tcPr>
            <w:tcW w:w="1230" w:type="dxa"/>
          </w:tcPr>
          <w:p>
            <w:pPr>
              <w:pStyle w:val="TableParagraph"/>
              <w:ind w:left="117"/>
              <w:rPr>
                <w:sz w:val="20"/>
              </w:rPr>
            </w:pPr>
            <w:r>
              <w:rPr>
                <w:spacing w:val="-4"/>
                <w:sz w:val="20"/>
              </w:rPr>
              <w:t>5.23</w:t>
            </w:r>
          </w:p>
        </w:tc>
        <w:tc>
          <w:tcPr>
            <w:tcW w:w="1230" w:type="dxa"/>
          </w:tcPr>
          <w:p>
            <w:pPr>
              <w:pStyle w:val="TableParagraph"/>
              <w:ind w:left="117"/>
              <w:rPr>
                <w:sz w:val="20"/>
              </w:rPr>
            </w:pPr>
            <w:r>
              <w:rPr>
                <w:spacing w:val="-4"/>
                <w:sz w:val="20"/>
              </w:rPr>
              <w:t>5.41</w:t>
            </w:r>
          </w:p>
        </w:tc>
        <w:tc>
          <w:tcPr>
            <w:tcW w:w="1582" w:type="dxa"/>
            <w:tcBorders>
              <w:right w:val="nil"/>
            </w:tcBorders>
          </w:tcPr>
          <w:p>
            <w:pPr>
              <w:pStyle w:val="TableParagraph"/>
              <w:ind w:left="116"/>
              <w:rPr>
                <w:sz w:val="20"/>
              </w:rPr>
            </w:pPr>
            <w:r>
              <w:rPr>
                <w:spacing w:val="-4"/>
                <w:sz w:val="20"/>
              </w:rPr>
              <w:t>4.95</w:t>
            </w:r>
          </w:p>
        </w:tc>
      </w:tr>
      <w:tr>
        <w:trPr>
          <w:trHeight w:val="350" w:hRule="atLeast"/>
        </w:trPr>
        <w:tc>
          <w:tcPr>
            <w:tcW w:w="2952" w:type="dxa"/>
          </w:tcPr>
          <w:p>
            <w:pPr>
              <w:pStyle w:val="TableParagraph"/>
              <w:rPr>
                <w:sz w:val="20"/>
              </w:rPr>
            </w:pPr>
            <w:r>
              <w:rPr>
                <w:sz w:val="20"/>
              </w:rPr>
              <w:t>Receivables </w:t>
            </w:r>
            <w:r>
              <w:rPr>
                <w:spacing w:val="-2"/>
                <w:sz w:val="20"/>
              </w:rPr>
              <w:t>Turnover</w:t>
            </w:r>
          </w:p>
        </w:tc>
        <w:tc>
          <w:tcPr>
            <w:tcW w:w="1230" w:type="dxa"/>
          </w:tcPr>
          <w:p>
            <w:pPr>
              <w:pStyle w:val="TableParagraph"/>
              <w:ind w:left="119"/>
              <w:rPr>
                <w:sz w:val="20"/>
              </w:rPr>
            </w:pPr>
            <w:r>
              <w:rPr>
                <w:spacing w:val="-2"/>
                <w:sz w:val="20"/>
              </w:rPr>
              <w:t>27.28</w:t>
            </w:r>
          </w:p>
        </w:tc>
        <w:tc>
          <w:tcPr>
            <w:tcW w:w="1230" w:type="dxa"/>
          </w:tcPr>
          <w:p>
            <w:pPr>
              <w:pStyle w:val="TableParagraph"/>
              <w:ind w:left="119"/>
              <w:rPr>
                <w:sz w:val="20"/>
              </w:rPr>
            </w:pPr>
            <w:r>
              <w:rPr>
                <w:spacing w:val="-2"/>
                <w:sz w:val="20"/>
              </w:rPr>
              <w:t>28.35</w:t>
            </w:r>
          </w:p>
        </w:tc>
        <w:tc>
          <w:tcPr>
            <w:tcW w:w="1230" w:type="dxa"/>
          </w:tcPr>
          <w:p>
            <w:pPr>
              <w:pStyle w:val="TableParagraph"/>
              <w:ind w:left="118"/>
              <w:rPr>
                <w:sz w:val="20"/>
              </w:rPr>
            </w:pPr>
            <w:r>
              <w:rPr>
                <w:spacing w:val="-2"/>
                <w:sz w:val="20"/>
              </w:rPr>
              <w:t>30.19</w:t>
            </w:r>
          </w:p>
        </w:tc>
        <w:tc>
          <w:tcPr>
            <w:tcW w:w="1230" w:type="dxa"/>
          </w:tcPr>
          <w:p>
            <w:pPr>
              <w:pStyle w:val="TableParagraph"/>
              <w:ind w:left="117"/>
              <w:rPr>
                <w:sz w:val="20"/>
              </w:rPr>
            </w:pPr>
            <w:r>
              <w:rPr>
                <w:spacing w:val="-2"/>
                <w:sz w:val="20"/>
              </w:rPr>
              <w:t>33.86</w:t>
            </w:r>
          </w:p>
        </w:tc>
        <w:tc>
          <w:tcPr>
            <w:tcW w:w="1230" w:type="dxa"/>
          </w:tcPr>
          <w:p>
            <w:pPr>
              <w:pStyle w:val="TableParagraph"/>
              <w:ind w:left="117"/>
              <w:rPr>
                <w:sz w:val="20"/>
              </w:rPr>
            </w:pPr>
            <w:r>
              <w:rPr>
                <w:spacing w:val="-2"/>
                <w:sz w:val="20"/>
              </w:rPr>
              <w:t>35.92</w:t>
            </w:r>
          </w:p>
        </w:tc>
        <w:tc>
          <w:tcPr>
            <w:tcW w:w="1582" w:type="dxa"/>
            <w:tcBorders>
              <w:right w:val="nil"/>
            </w:tcBorders>
          </w:tcPr>
          <w:p>
            <w:pPr>
              <w:pStyle w:val="TableParagraph"/>
              <w:ind w:left="116"/>
              <w:rPr>
                <w:sz w:val="20"/>
              </w:rPr>
            </w:pPr>
            <w:r>
              <w:rPr>
                <w:spacing w:val="-2"/>
                <w:sz w:val="20"/>
              </w:rPr>
              <w:t>22.74</w:t>
            </w:r>
          </w:p>
        </w:tc>
      </w:tr>
      <w:tr>
        <w:trPr>
          <w:trHeight w:val="350" w:hRule="atLeast"/>
        </w:trPr>
        <w:tc>
          <w:tcPr>
            <w:tcW w:w="2952" w:type="dxa"/>
          </w:tcPr>
          <w:p>
            <w:pPr>
              <w:pStyle w:val="TableParagraph"/>
              <w:rPr>
                <w:sz w:val="20"/>
              </w:rPr>
            </w:pPr>
            <w:r>
              <w:rPr>
                <w:sz w:val="20"/>
              </w:rPr>
              <w:t>Payables </w:t>
            </w:r>
            <w:r>
              <w:rPr>
                <w:spacing w:val="-2"/>
                <w:sz w:val="20"/>
              </w:rPr>
              <w:t>Turnover</w:t>
            </w:r>
          </w:p>
        </w:tc>
        <w:tc>
          <w:tcPr>
            <w:tcW w:w="1230" w:type="dxa"/>
          </w:tcPr>
          <w:p>
            <w:pPr>
              <w:pStyle w:val="TableParagraph"/>
              <w:ind w:left="119"/>
              <w:rPr>
                <w:sz w:val="20"/>
              </w:rPr>
            </w:pPr>
            <w:r>
              <w:rPr>
                <w:spacing w:val="-4"/>
                <w:sz w:val="20"/>
              </w:rPr>
              <w:t>8.13</w:t>
            </w:r>
          </w:p>
        </w:tc>
        <w:tc>
          <w:tcPr>
            <w:tcW w:w="1230" w:type="dxa"/>
          </w:tcPr>
          <w:p>
            <w:pPr>
              <w:pStyle w:val="TableParagraph"/>
              <w:ind w:left="119"/>
              <w:rPr>
                <w:sz w:val="20"/>
              </w:rPr>
            </w:pPr>
            <w:r>
              <w:rPr>
                <w:spacing w:val="-4"/>
                <w:sz w:val="20"/>
              </w:rPr>
              <w:t>7.75</w:t>
            </w:r>
          </w:p>
        </w:tc>
        <w:tc>
          <w:tcPr>
            <w:tcW w:w="1230" w:type="dxa"/>
          </w:tcPr>
          <w:p>
            <w:pPr>
              <w:pStyle w:val="TableParagraph"/>
              <w:ind w:left="118"/>
              <w:rPr>
                <w:sz w:val="20"/>
              </w:rPr>
            </w:pPr>
            <w:r>
              <w:rPr>
                <w:spacing w:val="-4"/>
                <w:sz w:val="20"/>
              </w:rPr>
              <w:t>7.56</w:t>
            </w:r>
          </w:p>
        </w:tc>
        <w:tc>
          <w:tcPr>
            <w:tcW w:w="1230" w:type="dxa"/>
          </w:tcPr>
          <w:p>
            <w:pPr>
              <w:pStyle w:val="TableParagraph"/>
              <w:ind w:left="117"/>
              <w:rPr>
                <w:sz w:val="20"/>
              </w:rPr>
            </w:pPr>
            <w:r>
              <w:rPr>
                <w:spacing w:val="-4"/>
                <w:sz w:val="20"/>
              </w:rPr>
              <w:t>9.31</w:t>
            </w:r>
          </w:p>
        </w:tc>
        <w:tc>
          <w:tcPr>
            <w:tcW w:w="1230" w:type="dxa"/>
          </w:tcPr>
          <w:p>
            <w:pPr>
              <w:pStyle w:val="TableParagraph"/>
              <w:ind w:left="117"/>
              <w:rPr>
                <w:sz w:val="20"/>
              </w:rPr>
            </w:pPr>
            <w:r>
              <w:rPr>
                <w:spacing w:val="-4"/>
                <w:sz w:val="20"/>
              </w:rPr>
              <w:t>9.43</w:t>
            </w:r>
          </w:p>
        </w:tc>
        <w:tc>
          <w:tcPr>
            <w:tcW w:w="1582" w:type="dxa"/>
            <w:tcBorders>
              <w:right w:val="nil"/>
            </w:tcBorders>
          </w:tcPr>
          <w:p>
            <w:pPr>
              <w:pStyle w:val="TableParagraph"/>
              <w:ind w:left="116"/>
              <w:rPr>
                <w:sz w:val="20"/>
              </w:rPr>
            </w:pPr>
            <w:r>
              <w:rPr>
                <w:spacing w:val="-4"/>
                <w:sz w:val="20"/>
              </w:rPr>
              <w:t>8.21</w:t>
            </w:r>
          </w:p>
        </w:tc>
      </w:tr>
      <w:tr>
        <w:trPr>
          <w:trHeight w:val="350" w:hRule="atLeast"/>
        </w:trPr>
        <w:tc>
          <w:tcPr>
            <w:tcW w:w="2952" w:type="dxa"/>
          </w:tcPr>
          <w:p>
            <w:pPr>
              <w:pStyle w:val="TableParagraph"/>
              <w:rPr>
                <w:sz w:val="20"/>
              </w:rPr>
            </w:pPr>
            <w:r>
              <w:rPr>
                <w:sz w:val="20"/>
              </w:rPr>
              <w:t>Working Capital </w:t>
            </w:r>
            <w:r>
              <w:rPr>
                <w:spacing w:val="-2"/>
                <w:sz w:val="20"/>
              </w:rPr>
              <w:t>Turnover</w:t>
            </w:r>
          </w:p>
        </w:tc>
        <w:tc>
          <w:tcPr>
            <w:tcW w:w="1230" w:type="dxa"/>
          </w:tcPr>
          <w:p>
            <w:pPr>
              <w:pStyle w:val="TableParagraph"/>
              <w:ind w:left="119"/>
              <w:rPr>
                <w:sz w:val="20"/>
              </w:rPr>
            </w:pPr>
            <w:r>
              <w:rPr>
                <w:spacing w:val="-4"/>
                <w:sz w:val="20"/>
              </w:rPr>
              <w:t>6.73</w:t>
            </w:r>
          </w:p>
        </w:tc>
        <w:tc>
          <w:tcPr>
            <w:tcW w:w="1230" w:type="dxa"/>
          </w:tcPr>
          <w:p>
            <w:pPr>
              <w:pStyle w:val="TableParagraph"/>
              <w:ind w:left="119"/>
              <w:rPr>
                <w:sz w:val="20"/>
              </w:rPr>
            </w:pPr>
            <w:r>
              <w:rPr>
                <w:spacing w:val="-4"/>
                <w:sz w:val="20"/>
              </w:rPr>
              <w:t>7.05</w:t>
            </w:r>
          </w:p>
        </w:tc>
        <w:tc>
          <w:tcPr>
            <w:tcW w:w="1230" w:type="dxa"/>
          </w:tcPr>
          <w:p>
            <w:pPr>
              <w:pStyle w:val="TableParagraph"/>
              <w:ind w:left="118"/>
              <w:rPr>
                <w:sz w:val="20"/>
              </w:rPr>
            </w:pPr>
            <w:r>
              <w:rPr>
                <w:spacing w:val="-4"/>
                <w:sz w:val="20"/>
              </w:rPr>
              <w:t>7.57</w:t>
            </w:r>
          </w:p>
        </w:tc>
        <w:tc>
          <w:tcPr>
            <w:tcW w:w="1230" w:type="dxa"/>
          </w:tcPr>
          <w:p>
            <w:pPr>
              <w:pStyle w:val="TableParagraph"/>
              <w:ind w:left="117"/>
              <w:rPr>
                <w:sz w:val="20"/>
              </w:rPr>
            </w:pPr>
            <w:r>
              <w:rPr>
                <w:spacing w:val="-4"/>
                <w:sz w:val="20"/>
              </w:rPr>
              <w:t>7.91</w:t>
            </w:r>
          </w:p>
        </w:tc>
        <w:tc>
          <w:tcPr>
            <w:tcW w:w="1230" w:type="dxa"/>
          </w:tcPr>
          <w:p>
            <w:pPr>
              <w:pStyle w:val="TableParagraph"/>
              <w:ind w:left="117"/>
              <w:rPr>
                <w:sz w:val="20"/>
              </w:rPr>
            </w:pPr>
            <w:r>
              <w:rPr>
                <w:spacing w:val="-4"/>
                <w:sz w:val="20"/>
              </w:rPr>
              <w:t>8.08</w:t>
            </w:r>
          </w:p>
        </w:tc>
        <w:tc>
          <w:tcPr>
            <w:tcW w:w="1582" w:type="dxa"/>
            <w:tcBorders>
              <w:right w:val="nil"/>
            </w:tcBorders>
          </w:tcPr>
          <w:p>
            <w:pPr>
              <w:pStyle w:val="TableParagraph"/>
              <w:ind w:left="116"/>
              <w:rPr>
                <w:sz w:val="20"/>
              </w:rPr>
            </w:pPr>
            <w:r>
              <w:rPr>
                <w:spacing w:val="-4"/>
                <w:sz w:val="20"/>
              </w:rPr>
              <w:t>6.35</w:t>
            </w:r>
          </w:p>
        </w:tc>
      </w:tr>
      <w:tr>
        <w:trPr>
          <w:trHeight w:val="350" w:hRule="atLeast"/>
        </w:trPr>
        <w:tc>
          <w:tcPr>
            <w:tcW w:w="2952" w:type="dxa"/>
          </w:tcPr>
          <w:p>
            <w:pPr>
              <w:pStyle w:val="TableParagraph"/>
              <w:rPr>
                <w:sz w:val="20"/>
              </w:rPr>
            </w:pPr>
            <w:r>
              <w:rPr>
                <w:sz w:val="20"/>
              </w:rPr>
              <w:t>Fixed Asset </w:t>
            </w:r>
            <w:r>
              <w:rPr>
                <w:spacing w:val="-2"/>
                <w:sz w:val="20"/>
              </w:rPr>
              <w:t>Turnover</w:t>
            </w:r>
          </w:p>
        </w:tc>
        <w:tc>
          <w:tcPr>
            <w:tcW w:w="1230" w:type="dxa"/>
          </w:tcPr>
          <w:p>
            <w:pPr>
              <w:pStyle w:val="TableParagraph"/>
              <w:ind w:left="119"/>
              <w:rPr>
                <w:sz w:val="20"/>
              </w:rPr>
            </w:pPr>
            <w:r>
              <w:rPr>
                <w:spacing w:val="-4"/>
                <w:sz w:val="20"/>
              </w:rPr>
              <w:t>0.96</w:t>
            </w:r>
          </w:p>
        </w:tc>
        <w:tc>
          <w:tcPr>
            <w:tcW w:w="1230" w:type="dxa"/>
          </w:tcPr>
          <w:p>
            <w:pPr>
              <w:pStyle w:val="TableParagraph"/>
              <w:ind w:left="119"/>
              <w:rPr>
                <w:sz w:val="20"/>
              </w:rPr>
            </w:pPr>
            <w:r>
              <w:rPr>
                <w:spacing w:val="-4"/>
                <w:sz w:val="20"/>
              </w:rPr>
              <w:t>1.03</w:t>
            </w:r>
          </w:p>
        </w:tc>
        <w:tc>
          <w:tcPr>
            <w:tcW w:w="1230" w:type="dxa"/>
          </w:tcPr>
          <w:p>
            <w:pPr>
              <w:pStyle w:val="TableParagraph"/>
              <w:ind w:left="118"/>
              <w:rPr>
                <w:sz w:val="20"/>
              </w:rPr>
            </w:pPr>
            <w:r>
              <w:rPr>
                <w:spacing w:val="-4"/>
                <w:sz w:val="20"/>
              </w:rPr>
              <w:t>1.12</w:t>
            </w:r>
          </w:p>
        </w:tc>
        <w:tc>
          <w:tcPr>
            <w:tcW w:w="1230" w:type="dxa"/>
          </w:tcPr>
          <w:p>
            <w:pPr>
              <w:pStyle w:val="TableParagraph"/>
              <w:ind w:left="117"/>
              <w:rPr>
                <w:sz w:val="20"/>
              </w:rPr>
            </w:pPr>
            <w:r>
              <w:rPr>
                <w:spacing w:val="-4"/>
                <w:sz w:val="20"/>
              </w:rPr>
              <w:t>1.19</w:t>
            </w:r>
          </w:p>
        </w:tc>
        <w:tc>
          <w:tcPr>
            <w:tcW w:w="1230" w:type="dxa"/>
          </w:tcPr>
          <w:p>
            <w:pPr>
              <w:pStyle w:val="TableParagraph"/>
              <w:ind w:left="117"/>
              <w:rPr>
                <w:sz w:val="20"/>
              </w:rPr>
            </w:pPr>
            <w:r>
              <w:rPr>
                <w:spacing w:val="-4"/>
                <w:sz w:val="20"/>
              </w:rPr>
              <w:t>1.24</w:t>
            </w:r>
          </w:p>
        </w:tc>
        <w:tc>
          <w:tcPr>
            <w:tcW w:w="1582" w:type="dxa"/>
            <w:tcBorders>
              <w:right w:val="nil"/>
            </w:tcBorders>
          </w:tcPr>
          <w:p>
            <w:pPr>
              <w:pStyle w:val="TableParagraph"/>
              <w:ind w:left="116"/>
              <w:rPr>
                <w:sz w:val="20"/>
              </w:rPr>
            </w:pPr>
            <w:r>
              <w:rPr>
                <w:spacing w:val="-4"/>
                <w:sz w:val="20"/>
              </w:rPr>
              <w:t>1.05</w:t>
            </w:r>
          </w:p>
        </w:tc>
      </w:tr>
      <w:tr>
        <w:trPr>
          <w:trHeight w:val="350" w:hRule="atLeast"/>
        </w:trPr>
        <w:tc>
          <w:tcPr>
            <w:tcW w:w="2952" w:type="dxa"/>
          </w:tcPr>
          <w:p>
            <w:pPr>
              <w:pStyle w:val="TableParagraph"/>
              <w:rPr>
                <w:sz w:val="20"/>
              </w:rPr>
            </w:pPr>
            <w:r>
              <w:rPr>
                <w:sz w:val="20"/>
              </w:rPr>
              <w:t>Return on Working Capital </w:t>
            </w:r>
            <w:r>
              <w:rPr>
                <w:spacing w:val="-5"/>
                <w:sz w:val="20"/>
              </w:rPr>
              <w:t>(%)</w:t>
            </w:r>
          </w:p>
        </w:tc>
        <w:tc>
          <w:tcPr>
            <w:tcW w:w="1230" w:type="dxa"/>
          </w:tcPr>
          <w:p>
            <w:pPr>
              <w:pStyle w:val="TableParagraph"/>
              <w:ind w:left="119"/>
              <w:rPr>
                <w:sz w:val="20"/>
              </w:rPr>
            </w:pPr>
            <w:r>
              <w:rPr>
                <w:spacing w:val="-2"/>
                <w:sz w:val="20"/>
              </w:rPr>
              <w:t>66.9%</w:t>
            </w:r>
          </w:p>
        </w:tc>
        <w:tc>
          <w:tcPr>
            <w:tcW w:w="1230" w:type="dxa"/>
          </w:tcPr>
          <w:p>
            <w:pPr>
              <w:pStyle w:val="TableParagraph"/>
              <w:ind w:left="119"/>
              <w:rPr>
                <w:sz w:val="20"/>
              </w:rPr>
            </w:pPr>
            <w:r>
              <w:rPr>
                <w:spacing w:val="-2"/>
                <w:sz w:val="20"/>
              </w:rPr>
              <w:t>69.7%</w:t>
            </w:r>
          </w:p>
        </w:tc>
        <w:tc>
          <w:tcPr>
            <w:tcW w:w="1230" w:type="dxa"/>
          </w:tcPr>
          <w:p>
            <w:pPr>
              <w:pStyle w:val="TableParagraph"/>
              <w:ind w:left="118"/>
              <w:rPr>
                <w:sz w:val="20"/>
              </w:rPr>
            </w:pPr>
            <w:r>
              <w:rPr>
                <w:spacing w:val="-2"/>
                <w:sz w:val="20"/>
              </w:rPr>
              <w:t>74.1%</w:t>
            </w:r>
          </w:p>
        </w:tc>
        <w:tc>
          <w:tcPr>
            <w:tcW w:w="1230" w:type="dxa"/>
          </w:tcPr>
          <w:p>
            <w:pPr>
              <w:pStyle w:val="TableParagraph"/>
              <w:ind w:left="117"/>
              <w:rPr>
                <w:sz w:val="20"/>
              </w:rPr>
            </w:pPr>
            <w:r>
              <w:rPr>
                <w:spacing w:val="-2"/>
                <w:sz w:val="20"/>
              </w:rPr>
              <w:t>79.9%</w:t>
            </w:r>
          </w:p>
        </w:tc>
        <w:tc>
          <w:tcPr>
            <w:tcW w:w="1230" w:type="dxa"/>
          </w:tcPr>
          <w:p>
            <w:pPr>
              <w:pStyle w:val="TableParagraph"/>
              <w:ind w:left="117"/>
              <w:rPr>
                <w:sz w:val="20"/>
              </w:rPr>
            </w:pPr>
            <w:r>
              <w:rPr>
                <w:spacing w:val="-2"/>
                <w:sz w:val="20"/>
              </w:rPr>
              <w:t>86.0%</w:t>
            </w:r>
          </w:p>
        </w:tc>
        <w:tc>
          <w:tcPr>
            <w:tcW w:w="1582" w:type="dxa"/>
            <w:tcBorders>
              <w:right w:val="nil"/>
            </w:tcBorders>
          </w:tcPr>
          <w:p>
            <w:pPr>
              <w:pStyle w:val="TableParagraph"/>
              <w:ind w:left="116"/>
              <w:rPr>
                <w:sz w:val="20"/>
              </w:rPr>
            </w:pPr>
            <w:r>
              <w:rPr>
                <w:spacing w:val="-2"/>
                <w:sz w:val="20"/>
              </w:rPr>
              <w:t>58.7%</w:t>
            </w:r>
          </w:p>
        </w:tc>
      </w:tr>
    </w:tbl>
    <w:p>
      <w:pPr>
        <w:pStyle w:val="BodyText"/>
        <w:spacing w:before="243"/>
        <w:rPr>
          <w:rFonts w:ascii="Arial"/>
          <w:b/>
        </w:rPr>
      </w:pPr>
    </w:p>
    <w:p>
      <w:pPr>
        <w:spacing w:line="208" w:lineRule="auto" w:before="0"/>
        <w:ind w:left="120" w:right="1633" w:firstLine="0"/>
        <w:jc w:val="left"/>
        <w:rPr>
          <w:rFonts w:ascii="Arial"/>
          <w:i/>
          <w:sz w:val="24"/>
        </w:rPr>
      </w:pPr>
      <w:r>
        <w:rPr>
          <w:rFonts w:ascii="Arial"/>
          <w:i/>
          <w:sz w:val="24"/>
        </w:rPr>
        <w:t>Source:</w:t>
      </w:r>
      <w:r>
        <w:rPr>
          <w:rFonts w:ascii="Arial"/>
          <w:i/>
          <w:spacing w:val="-4"/>
          <w:sz w:val="24"/>
        </w:rPr>
        <w:t> </w:t>
      </w:r>
      <w:r>
        <w:rPr>
          <w:rFonts w:ascii="Arial"/>
          <w:i/>
          <w:sz w:val="24"/>
        </w:rPr>
        <w:t>Calculated</w:t>
      </w:r>
      <w:r>
        <w:rPr>
          <w:rFonts w:ascii="Arial"/>
          <w:i/>
          <w:spacing w:val="-4"/>
          <w:sz w:val="24"/>
        </w:rPr>
        <w:t> </w:t>
      </w:r>
      <w:r>
        <w:rPr>
          <w:rFonts w:ascii="Arial"/>
          <w:i/>
          <w:sz w:val="24"/>
        </w:rPr>
        <w:t>from</w:t>
      </w:r>
      <w:r>
        <w:rPr>
          <w:rFonts w:ascii="Arial"/>
          <w:i/>
          <w:spacing w:val="-4"/>
          <w:sz w:val="24"/>
        </w:rPr>
        <w:t> </w:t>
      </w:r>
      <w:r>
        <w:rPr>
          <w:rFonts w:ascii="Arial"/>
          <w:i/>
          <w:sz w:val="24"/>
        </w:rPr>
        <w:t>RIL</w:t>
      </w:r>
      <w:r>
        <w:rPr>
          <w:rFonts w:ascii="Arial"/>
          <w:i/>
          <w:spacing w:val="-4"/>
          <w:sz w:val="24"/>
        </w:rPr>
        <w:t> </w:t>
      </w:r>
      <w:r>
        <w:rPr>
          <w:rFonts w:ascii="Arial"/>
          <w:i/>
          <w:sz w:val="24"/>
        </w:rPr>
        <w:t>Annual</w:t>
      </w:r>
      <w:r>
        <w:rPr>
          <w:rFonts w:ascii="Arial"/>
          <w:i/>
          <w:spacing w:val="-4"/>
          <w:sz w:val="24"/>
        </w:rPr>
        <w:t> </w:t>
      </w:r>
      <w:r>
        <w:rPr>
          <w:rFonts w:ascii="Arial"/>
          <w:i/>
          <w:sz w:val="24"/>
        </w:rPr>
        <w:t>Reports</w:t>
      </w:r>
      <w:r>
        <w:rPr>
          <w:rFonts w:ascii="Arial"/>
          <w:i/>
          <w:spacing w:val="-4"/>
          <w:sz w:val="24"/>
        </w:rPr>
        <w:t> </w:t>
      </w:r>
      <w:r>
        <w:rPr>
          <w:rFonts w:ascii="Arial"/>
          <w:i/>
          <w:sz w:val="24"/>
        </w:rPr>
        <w:t>FY2020-21</w:t>
      </w:r>
      <w:r>
        <w:rPr>
          <w:rFonts w:ascii="Arial"/>
          <w:i/>
          <w:spacing w:val="-4"/>
          <w:sz w:val="24"/>
        </w:rPr>
        <w:t> </w:t>
      </w:r>
      <w:r>
        <w:rPr>
          <w:rFonts w:ascii="Arial"/>
          <w:i/>
          <w:sz w:val="24"/>
        </w:rPr>
        <w:t>to</w:t>
      </w:r>
      <w:r>
        <w:rPr>
          <w:rFonts w:ascii="Arial"/>
          <w:i/>
          <w:spacing w:val="-4"/>
          <w:sz w:val="24"/>
        </w:rPr>
        <w:t> </w:t>
      </w:r>
      <w:r>
        <w:rPr>
          <w:rFonts w:ascii="Arial"/>
          <w:i/>
          <w:sz w:val="24"/>
        </w:rPr>
        <w:t>FY2024-25;</w:t>
      </w:r>
      <w:r>
        <w:rPr>
          <w:rFonts w:ascii="Arial"/>
          <w:i/>
          <w:spacing w:val="-4"/>
          <w:sz w:val="24"/>
        </w:rPr>
        <w:t> </w:t>
      </w:r>
      <w:r>
        <w:rPr>
          <w:rFonts w:ascii="Arial"/>
          <w:i/>
          <w:sz w:val="24"/>
        </w:rPr>
        <w:t>Industry</w:t>
      </w:r>
      <w:r>
        <w:rPr>
          <w:rFonts w:ascii="Arial"/>
          <w:i/>
          <w:spacing w:val="-4"/>
          <w:sz w:val="24"/>
        </w:rPr>
        <w:t> </w:t>
      </w:r>
      <w:r>
        <w:rPr>
          <w:rFonts w:ascii="Arial"/>
          <w:i/>
          <w:sz w:val="24"/>
        </w:rPr>
        <w:t>data from S&amp;P; Capital IQ</w:t>
      </w:r>
    </w:p>
    <w:p>
      <w:pPr>
        <w:pStyle w:val="BodyText"/>
        <w:spacing w:before="14"/>
        <w:rPr>
          <w:rFonts w:ascii="Arial"/>
          <w:i/>
        </w:rPr>
      </w:pPr>
    </w:p>
    <w:p>
      <w:pPr>
        <w:pStyle w:val="Heading4"/>
      </w:pPr>
      <w:r>
        <w:rPr/>
        <w:t>Key </w:t>
      </w:r>
      <w:r>
        <w:rPr>
          <w:spacing w:val="-2"/>
        </w:rPr>
        <w:t>Observations:</w:t>
      </w:r>
    </w:p>
    <w:p>
      <w:pPr>
        <w:pStyle w:val="BodyText"/>
        <w:spacing w:before="38"/>
        <w:rPr>
          <w:rFonts w:ascii="Arial"/>
          <w:b/>
        </w:rPr>
      </w:pPr>
    </w:p>
    <w:p>
      <w:pPr>
        <w:pStyle w:val="ListParagraph"/>
        <w:numPr>
          <w:ilvl w:val="0"/>
          <w:numId w:val="19"/>
        </w:numPr>
        <w:tabs>
          <w:tab w:pos="386" w:val="left" w:leader="none"/>
        </w:tabs>
        <w:spacing w:line="208" w:lineRule="auto" w:before="0" w:after="0"/>
        <w:ind w:left="120" w:right="1587" w:firstLine="0"/>
        <w:jc w:val="left"/>
        <w:rPr>
          <w:sz w:val="24"/>
        </w:rPr>
      </w:pPr>
      <w:r>
        <w:rPr>
          <w:rFonts w:ascii="Arial"/>
          <w:b/>
          <w:sz w:val="24"/>
        </w:rPr>
        <w:t>Inventory Efficiency Gains: </w:t>
      </w:r>
      <w:r>
        <w:rPr>
          <w:sz w:val="24"/>
        </w:rPr>
        <w:t>Inventory turnover improved from 4.66 to 5.41 over the five-year period, exceeding the industry average of 4.95 by FY2024-25. This reflects</w:t>
      </w:r>
      <w:r>
        <w:rPr>
          <w:spacing w:val="-5"/>
          <w:sz w:val="24"/>
        </w:rPr>
        <w:t> </w:t>
      </w:r>
      <w:r>
        <w:rPr>
          <w:sz w:val="24"/>
        </w:rPr>
        <w:t>RIL's</w:t>
      </w:r>
      <w:r>
        <w:rPr>
          <w:spacing w:val="-5"/>
          <w:sz w:val="24"/>
        </w:rPr>
        <w:t> </w:t>
      </w:r>
      <w:r>
        <w:rPr>
          <w:sz w:val="24"/>
        </w:rPr>
        <w:t>success</w:t>
      </w:r>
      <w:r>
        <w:rPr>
          <w:spacing w:val="-5"/>
          <w:sz w:val="24"/>
        </w:rPr>
        <w:t> </w:t>
      </w:r>
      <w:r>
        <w:rPr>
          <w:sz w:val="24"/>
        </w:rPr>
        <w:t>in</w:t>
      </w:r>
      <w:r>
        <w:rPr>
          <w:spacing w:val="-5"/>
          <w:sz w:val="24"/>
        </w:rPr>
        <w:t> </w:t>
      </w:r>
      <w:r>
        <w:rPr>
          <w:sz w:val="24"/>
        </w:rPr>
        <w:t>implementing</w:t>
      </w:r>
      <w:r>
        <w:rPr>
          <w:spacing w:val="-5"/>
          <w:sz w:val="24"/>
        </w:rPr>
        <w:t> </w:t>
      </w:r>
      <w:r>
        <w:rPr>
          <w:sz w:val="24"/>
        </w:rPr>
        <w:t>advanced</w:t>
      </w:r>
      <w:r>
        <w:rPr>
          <w:spacing w:val="-5"/>
          <w:sz w:val="24"/>
        </w:rPr>
        <w:t> </w:t>
      </w:r>
      <w:r>
        <w:rPr>
          <w:sz w:val="24"/>
        </w:rPr>
        <w:t>inventory</w:t>
      </w:r>
      <w:r>
        <w:rPr>
          <w:spacing w:val="-5"/>
          <w:sz w:val="24"/>
        </w:rPr>
        <w:t> </w:t>
      </w:r>
      <w:r>
        <w:rPr>
          <w:sz w:val="24"/>
        </w:rPr>
        <w:t>management</w:t>
      </w:r>
      <w:r>
        <w:rPr>
          <w:spacing w:val="-5"/>
          <w:sz w:val="24"/>
        </w:rPr>
        <w:t> </w:t>
      </w:r>
      <w:r>
        <w:rPr>
          <w:sz w:val="24"/>
        </w:rPr>
        <w:t>systems</w:t>
      </w:r>
      <w:r>
        <w:rPr>
          <w:spacing w:val="-5"/>
          <w:sz w:val="24"/>
        </w:rPr>
        <w:t> </w:t>
      </w:r>
      <w:r>
        <w:rPr>
          <w:sz w:val="24"/>
        </w:rPr>
        <w:t>and optimizing supply chain processes.</w:t>
      </w:r>
    </w:p>
    <w:p>
      <w:pPr>
        <w:pStyle w:val="BodyText"/>
        <w:spacing w:before="43"/>
      </w:pPr>
    </w:p>
    <w:p>
      <w:pPr>
        <w:pStyle w:val="ListParagraph"/>
        <w:numPr>
          <w:ilvl w:val="0"/>
          <w:numId w:val="19"/>
        </w:numPr>
        <w:tabs>
          <w:tab w:pos="386" w:val="left" w:leader="none"/>
        </w:tabs>
        <w:spacing w:line="208" w:lineRule="auto" w:before="0" w:after="0"/>
        <w:ind w:left="120" w:right="1801" w:firstLine="0"/>
        <w:jc w:val="left"/>
        <w:rPr>
          <w:sz w:val="24"/>
        </w:rPr>
      </w:pPr>
      <w:r>
        <w:rPr>
          <w:rFonts w:ascii="Arial"/>
          <w:b/>
          <w:sz w:val="24"/>
        </w:rPr>
        <w:t>Superior</w:t>
      </w:r>
      <w:r>
        <w:rPr>
          <w:rFonts w:ascii="Arial"/>
          <w:b/>
          <w:spacing w:val="-5"/>
          <w:sz w:val="24"/>
        </w:rPr>
        <w:t> </w:t>
      </w:r>
      <w:r>
        <w:rPr>
          <w:rFonts w:ascii="Arial"/>
          <w:b/>
          <w:sz w:val="24"/>
        </w:rPr>
        <w:t>Receivables</w:t>
      </w:r>
      <w:r>
        <w:rPr>
          <w:rFonts w:ascii="Arial"/>
          <w:b/>
          <w:spacing w:val="-5"/>
          <w:sz w:val="24"/>
        </w:rPr>
        <w:t> </w:t>
      </w:r>
      <w:r>
        <w:rPr>
          <w:rFonts w:ascii="Arial"/>
          <w:b/>
          <w:sz w:val="24"/>
        </w:rPr>
        <w:t>Management:</w:t>
      </w:r>
      <w:r>
        <w:rPr>
          <w:rFonts w:ascii="Arial"/>
          <w:b/>
          <w:spacing w:val="-5"/>
          <w:sz w:val="24"/>
        </w:rPr>
        <w:t> </w:t>
      </w:r>
      <w:r>
        <w:rPr>
          <w:sz w:val="24"/>
        </w:rPr>
        <w:t>RIL's</w:t>
      </w:r>
      <w:r>
        <w:rPr>
          <w:spacing w:val="-5"/>
          <w:sz w:val="24"/>
        </w:rPr>
        <w:t> </w:t>
      </w:r>
      <w:r>
        <w:rPr>
          <w:sz w:val="24"/>
        </w:rPr>
        <w:t>receivables</w:t>
      </w:r>
      <w:r>
        <w:rPr>
          <w:spacing w:val="-5"/>
          <w:sz w:val="24"/>
        </w:rPr>
        <w:t> </w:t>
      </w:r>
      <w:r>
        <w:rPr>
          <w:sz w:val="24"/>
        </w:rPr>
        <w:t>turnover</w:t>
      </w:r>
      <w:r>
        <w:rPr>
          <w:spacing w:val="-5"/>
          <w:sz w:val="24"/>
        </w:rPr>
        <w:t> </w:t>
      </w:r>
      <w:r>
        <w:rPr>
          <w:sz w:val="24"/>
        </w:rPr>
        <w:t>ratio</w:t>
      </w:r>
      <w:r>
        <w:rPr>
          <w:spacing w:val="-5"/>
          <w:sz w:val="24"/>
        </w:rPr>
        <w:t> </w:t>
      </w:r>
      <w:r>
        <w:rPr>
          <w:sz w:val="24"/>
        </w:rPr>
        <w:t>of</w:t>
      </w:r>
      <w:r>
        <w:rPr>
          <w:spacing w:val="-5"/>
          <w:sz w:val="24"/>
        </w:rPr>
        <w:t> </w:t>
      </w:r>
      <w:r>
        <w:rPr>
          <w:sz w:val="24"/>
        </w:rPr>
        <w:t>35.92</w:t>
      </w:r>
      <w:r>
        <w:rPr>
          <w:spacing w:val="-5"/>
          <w:sz w:val="24"/>
        </w:rPr>
        <w:t> </w:t>
      </w:r>
      <w:r>
        <w:rPr>
          <w:sz w:val="24"/>
        </w:rPr>
        <w:t>in FY2024-25 significantly outperforms the industry average of 22.74, indicating</w:t>
      </w:r>
    </w:p>
    <w:p>
      <w:pPr>
        <w:pStyle w:val="ListParagraph"/>
        <w:spacing w:after="0" w:line="208" w:lineRule="auto"/>
        <w:jc w:val="left"/>
        <w:rPr>
          <w:sz w:val="24"/>
        </w:rPr>
        <w:sectPr>
          <w:pgSz w:w="12240" w:h="15840"/>
          <w:pgMar w:top="1500" w:bottom="280" w:left="1440" w:right="0"/>
        </w:sectPr>
      </w:pPr>
    </w:p>
    <w:p>
      <w:pPr>
        <w:pStyle w:val="BodyText"/>
        <w:spacing w:line="208" w:lineRule="auto" w:before="104"/>
        <w:ind w:left="120" w:right="1633"/>
      </w:pPr>
      <w:r>
        <w:rPr/>
        <w:t>exceptional efficiency in credit management and collection processes. This is particularly</w:t>
      </w:r>
      <w:r>
        <w:rPr>
          <w:spacing w:val="-6"/>
        </w:rPr>
        <w:t> </w:t>
      </w:r>
      <w:r>
        <w:rPr/>
        <w:t>impressive</w:t>
      </w:r>
      <w:r>
        <w:rPr>
          <w:spacing w:val="-6"/>
        </w:rPr>
        <w:t> </w:t>
      </w:r>
      <w:r>
        <w:rPr/>
        <w:t>given</w:t>
      </w:r>
      <w:r>
        <w:rPr>
          <w:spacing w:val="-6"/>
        </w:rPr>
        <w:t> </w:t>
      </w:r>
      <w:r>
        <w:rPr/>
        <w:t>the</w:t>
      </w:r>
      <w:r>
        <w:rPr>
          <w:spacing w:val="-6"/>
        </w:rPr>
        <w:t> </w:t>
      </w:r>
      <w:r>
        <w:rPr/>
        <w:t>company's</w:t>
      </w:r>
      <w:r>
        <w:rPr>
          <w:spacing w:val="-6"/>
        </w:rPr>
        <w:t> </w:t>
      </w:r>
      <w:r>
        <w:rPr/>
        <w:t>growing</w:t>
      </w:r>
      <w:r>
        <w:rPr>
          <w:spacing w:val="-6"/>
        </w:rPr>
        <w:t> </w:t>
      </w:r>
      <w:r>
        <w:rPr/>
        <w:t>consumer-facing</w:t>
      </w:r>
      <w:r>
        <w:rPr>
          <w:spacing w:val="-6"/>
        </w:rPr>
        <w:t> </w:t>
      </w:r>
      <w:r>
        <w:rPr/>
        <w:t>businesses.</w:t>
      </w:r>
    </w:p>
    <w:p>
      <w:pPr>
        <w:pStyle w:val="BodyText"/>
        <w:spacing w:before="43"/>
      </w:pPr>
    </w:p>
    <w:p>
      <w:pPr>
        <w:pStyle w:val="ListParagraph"/>
        <w:numPr>
          <w:ilvl w:val="0"/>
          <w:numId w:val="19"/>
        </w:numPr>
        <w:tabs>
          <w:tab w:pos="386" w:val="left" w:leader="none"/>
        </w:tabs>
        <w:spacing w:line="208" w:lineRule="auto" w:before="1" w:after="0"/>
        <w:ind w:left="120" w:right="1753" w:firstLine="0"/>
        <w:jc w:val="left"/>
        <w:rPr>
          <w:sz w:val="24"/>
        </w:rPr>
      </w:pPr>
      <w:r>
        <w:rPr>
          <w:rFonts w:ascii="Arial"/>
          <w:b/>
          <w:sz w:val="24"/>
        </w:rPr>
        <w:t>Payables Management Strategy: </w:t>
      </w:r>
      <w:r>
        <w:rPr>
          <w:sz w:val="24"/>
        </w:rPr>
        <w:t>The increasing payables turnover ratio (from 8.13</w:t>
      </w:r>
      <w:r>
        <w:rPr>
          <w:spacing w:val="-3"/>
          <w:sz w:val="24"/>
        </w:rPr>
        <w:t> </w:t>
      </w:r>
      <w:r>
        <w:rPr>
          <w:sz w:val="24"/>
        </w:rPr>
        <w:t>to</w:t>
      </w:r>
      <w:r>
        <w:rPr>
          <w:spacing w:val="-3"/>
          <w:sz w:val="24"/>
        </w:rPr>
        <w:t> </w:t>
      </w:r>
      <w:r>
        <w:rPr>
          <w:sz w:val="24"/>
        </w:rPr>
        <w:t>9.43)</w:t>
      </w:r>
      <w:r>
        <w:rPr>
          <w:spacing w:val="-3"/>
          <w:sz w:val="24"/>
        </w:rPr>
        <w:t> </w:t>
      </w:r>
      <w:r>
        <w:rPr>
          <w:sz w:val="24"/>
        </w:rPr>
        <w:t>indicates</w:t>
      </w:r>
      <w:r>
        <w:rPr>
          <w:spacing w:val="-3"/>
          <w:sz w:val="24"/>
        </w:rPr>
        <w:t> </w:t>
      </w:r>
      <w:r>
        <w:rPr>
          <w:sz w:val="24"/>
        </w:rPr>
        <w:t>faster</w:t>
      </w:r>
      <w:r>
        <w:rPr>
          <w:spacing w:val="-3"/>
          <w:sz w:val="24"/>
        </w:rPr>
        <w:t> </w:t>
      </w:r>
      <w:r>
        <w:rPr>
          <w:sz w:val="24"/>
        </w:rPr>
        <w:t>payment</w:t>
      </w:r>
      <w:r>
        <w:rPr>
          <w:spacing w:val="-3"/>
          <w:sz w:val="24"/>
        </w:rPr>
        <w:t> </w:t>
      </w:r>
      <w:r>
        <w:rPr>
          <w:sz w:val="24"/>
        </w:rPr>
        <w:t>to</w:t>
      </w:r>
      <w:r>
        <w:rPr>
          <w:spacing w:val="-3"/>
          <w:sz w:val="24"/>
        </w:rPr>
        <w:t> </w:t>
      </w:r>
      <w:r>
        <w:rPr>
          <w:sz w:val="24"/>
        </w:rPr>
        <w:t>suppliers.</w:t>
      </w:r>
      <w:r>
        <w:rPr>
          <w:spacing w:val="-3"/>
          <w:sz w:val="24"/>
        </w:rPr>
        <w:t> </w:t>
      </w:r>
      <w:r>
        <w:rPr>
          <w:sz w:val="24"/>
        </w:rPr>
        <w:t>While</w:t>
      </w:r>
      <w:r>
        <w:rPr>
          <w:spacing w:val="-3"/>
          <w:sz w:val="24"/>
        </w:rPr>
        <w:t> </w:t>
      </w:r>
      <w:r>
        <w:rPr>
          <w:sz w:val="24"/>
        </w:rPr>
        <w:t>this</w:t>
      </w:r>
      <w:r>
        <w:rPr>
          <w:spacing w:val="-3"/>
          <w:sz w:val="24"/>
        </w:rPr>
        <w:t> </w:t>
      </w:r>
      <w:r>
        <w:rPr>
          <w:sz w:val="24"/>
        </w:rPr>
        <w:t>might</w:t>
      </w:r>
      <w:r>
        <w:rPr>
          <w:spacing w:val="-3"/>
          <w:sz w:val="24"/>
        </w:rPr>
        <w:t> </w:t>
      </w:r>
      <w:r>
        <w:rPr>
          <w:sz w:val="24"/>
        </w:rPr>
        <w:t>seem</w:t>
      </w:r>
      <w:r>
        <w:rPr>
          <w:spacing w:val="-3"/>
          <w:sz w:val="24"/>
        </w:rPr>
        <w:t> </w:t>
      </w:r>
      <w:r>
        <w:rPr>
          <w:sz w:val="24"/>
        </w:rPr>
        <w:t>counter</w:t>
      </w:r>
      <w:r>
        <w:rPr>
          <w:spacing w:val="-3"/>
          <w:sz w:val="24"/>
        </w:rPr>
        <w:t> </w:t>
      </w:r>
      <w:r>
        <w:rPr>
          <w:sz w:val="24"/>
        </w:rPr>
        <w:t>to working capital optimization, it aligns with RIL's strategic focus on strengthening supplier relationships and leveraging scale for better pricing rather than extended payment terms.</w:t>
      </w:r>
    </w:p>
    <w:p>
      <w:pPr>
        <w:pStyle w:val="BodyText"/>
        <w:spacing w:before="43"/>
      </w:pPr>
    </w:p>
    <w:p>
      <w:pPr>
        <w:pStyle w:val="ListParagraph"/>
        <w:numPr>
          <w:ilvl w:val="0"/>
          <w:numId w:val="19"/>
        </w:numPr>
        <w:tabs>
          <w:tab w:pos="386" w:val="left" w:leader="none"/>
        </w:tabs>
        <w:spacing w:line="208" w:lineRule="auto" w:before="0" w:after="0"/>
        <w:ind w:left="120" w:right="1606" w:firstLine="0"/>
        <w:jc w:val="left"/>
        <w:rPr>
          <w:sz w:val="24"/>
        </w:rPr>
      </w:pPr>
      <w:r>
        <w:rPr>
          <w:rFonts w:ascii="Arial"/>
          <w:b/>
          <w:sz w:val="24"/>
        </w:rPr>
        <w:t>Working Capital Productivity: </w:t>
      </w:r>
      <w:r>
        <w:rPr>
          <w:sz w:val="24"/>
        </w:rPr>
        <w:t>The working capital turnover ratio improved substantially</w:t>
      </w:r>
      <w:r>
        <w:rPr>
          <w:spacing w:val="-4"/>
          <w:sz w:val="24"/>
        </w:rPr>
        <w:t> </w:t>
      </w:r>
      <w:r>
        <w:rPr>
          <w:sz w:val="24"/>
        </w:rPr>
        <w:t>from</w:t>
      </w:r>
      <w:r>
        <w:rPr>
          <w:spacing w:val="-4"/>
          <w:sz w:val="24"/>
        </w:rPr>
        <w:t> </w:t>
      </w:r>
      <w:r>
        <w:rPr>
          <w:sz w:val="24"/>
        </w:rPr>
        <w:t>6.73</w:t>
      </w:r>
      <w:r>
        <w:rPr>
          <w:spacing w:val="-4"/>
          <w:sz w:val="24"/>
        </w:rPr>
        <w:t> </w:t>
      </w:r>
      <w:r>
        <w:rPr>
          <w:sz w:val="24"/>
        </w:rPr>
        <w:t>to</w:t>
      </w:r>
      <w:r>
        <w:rPr>
          <w:spacing w:val="-4"/>
          <w:sz w:val="24"/>
        </w:rPr>
        <w:t> </w:t>
      </w:r>
      <w:r>
        <w:rPr>
          <w:sz w:val="24"/>
        </w:rPr>
        <w:t>8.08,</w:t>
      </w:r>
      <w:r>
        <w:rPr>
          <w:spacing w:val="-4"/>
          <w:sz w:val="24"/>
        </w:rPr>
        <w:t> </w:t>
      </w:r>
      <w:r>
        <w:rPr>
          <w:sz w:val="24"/>
        </w:rPr>
        <w:t>exceeding</w:t>
      </w:r>
      <w:r>
        <w:rPr>
          <w:spacing w:val="-4"/>
          <w:sz w:val="24"/>
        </w:rPr>
        <w:t> </w:t>
      </w:r>
      <w:r>
        <w:rPr>
          <w:sz w:val="24"/>
        </w:rPr>
        <w:t>the</w:t>
      </w:r>
      <w:r>
        <w:rPr>
          <w:spacing w:val="-4"/>
          <w:sz w:val="24"/>
        </w:rPr>
        <w:t> </w:t>
      </w:r>
      <w:r>
        <w:rPr>
          <w:sz w:val="24"/>
        </w:rPr>
        <w:t>industry</w:t>
      </w:r>
      <w:r>
        <w:rPr>
          <w:spacing w:val="-4"/>
          <w:sz w:val="24"/>
        </w:rPr>
        <w:t> </w:t>
      </w:r>
      <w:r>
        <w:rPr>
          <w:sz w:val="24"/>
        </w:rPr>
        <w:t>average</w:t>
      </w:r>
      <w:r>
        <w:rPr>
          <w:spacing w:val="-4"/>
          <w:sz w:val="24"/>
        </w:rPr>
        <w:t> </w:t>
      </w:r>
      <w:r>
        <w:rPr>
          <w:sz w:val="24"/>
        </w:rPr>
        <w:t>of</w:t>
      </w:r>
      <w:r>
        <w:rPr>
          <w:spacing w:val="-4"/>
          <w:sz w:val="24"/>
        </w:rPr>
        <w:t> </w:t>
      </w:r>
      <w:r>
        <w:rPr>
          <w:sz w:val="24"/>
        </w:rPr>
        <w:t>6.35.</w:t>
      </w:r>
      <w:r>
        <w:rPr>
          <w:spacing w:val="-4"/>
          <w:sz w:val="24"/>
        </w:rPr>
        <w:t> </w:t>
      </w:r>
      <w:r>
        <w:rPr>
          <w:sz w:val="24"/>
        </w:rPr>
        <w:t>This</w:t>
      </w:r>
      <w:r>
        <w:rPr>
          <w:spacing w:val="-4"/>
          <w:sz w:val="24"/>
        </w:rPr>
        <w:t> </w:t>
      </w:r>
      <w:r>
        <w:rPr>
          <w:sz w:val="24"/>
        </w:rPr>
        <w:t>indicates that RIL is generating more revenue per rupee of working capital invested, reflecting enhanced operational efficiency.</w:t>
      </w:r>
    </w:p>
    <w:p>
      <w:pPr>
        <w:pStyle w:val="BodyText"/>
        <w:spacing w:before="44"/>
      </w:pPr>
    </w:p>
    <w:p>
      <w:pPr>
        <w:pStyle w:val="ListParagraph"/>
        <w:numPr>
          <w:ilvl w:val="0"/>
          <w:numId w:val="19"/>
        </w:numPr>
        <w:tabs>
          <w:tab w:pos="386" w:val="left" w:leader="none"/>
        </w:tabs>
        <w:spacing w:line="208" w:lineRule="auto" w:before="0" w:after="0"/>
        <w:ind w:left="120" w:right="1557" w:firstLine="0"/>
        <w:jc w:val="left"/>
        <w:rPr>
          <w:sz w:val="24"/>
        </w:rPr>
      </w:pPr>
      <w:r>
        <w:rPr>
          <w:rFonts w:ascii="Arial"/>
          <w:b/>
          <w:sz w:val="24"/>
        </w:rPr>
        <w:t>Return on Working Capital: </w:t>
      </w:r>
      <w:r>
        <w:rPr>
          <w:sz w:val="24"/>
        </w:rPr>
        <w:t>The return on working capital increased significantly from 66.9% to 86.0% over the study period, substantially outperforming the industry average</w:t>
      </w:r>
      <w:r>
        <w:rPr>
          <w:spacing w:val="-7"/>
          <w:sz w:val="24"/>
        </w:rPr>
        <w:t> </w:t>
      </w:r>
      <w:r>
        <w:rPr>
          <w:sz w:val="24"/>
        </w:rPr>
        <w:t>of</w:t>
      </w:r>
      <w:r>
        <w:rPr>
          <w:spacing w:val="-7"/>
          <w:sz w:val="24"/>
        </w:rPr>
        <w:t> </w:t>
      </w:r>
      <w:r>
        <w:rPr>
          <w:sz w:val="24"/>
        </w:rPr>
        <w:t>58.7%.</w:t>
      </w:r>
      <w:r>
        <w:rPr>
          <w:spacing w:val="-7"/>
          <w:sz w:val="24"/>
        </w:rPr>
        <w:t> </w:t>
      </w:r>
      <w:r>
        <w:rPr>
          <w:sz w:val="24"/>
        </w:rPr>
        <w:t>This</w:t>
      </w:r>
      <w:r>
        <w:rPr>
          <w:spacing w:val="-7"/>
          <w:sz w:val="24"/>
        </w:rPr>
        <w:t> </w:t>
      </w:r>
      <w:r>
        <w:rPr>
          <w:sz w:val="24"/>
        </w:rPr>
        <w:t>demonstrates</w:t>
      </w:r>
      <w:r>
        <w:rPr>
          <w:spacing w:val="-7"/>
          <w:sz w:val="24"/>
        </w:rPr>
        <w:t> </w:t>
      </w:r>
      <w:r>
        <w:rPr>
          <w:sz w:val="24"/>
        </w:rPr>
        <w:t>RIL's</w:t>
      </w:r>
      <w:r>
        <w:rPr>
          <w:spacing w:val="-7"/>
          <w:sz w:val="24"/>
        </w:rPr>
        <w:t> </w:t>
      </w:r>
      <w:r>
        <w:rPr>
          <w:sz w:val="24"/>
        </w:rPr>
        <w:t>effectiveness</w:t>
      </w:r>
      <w:r>
        <w:rPr>
          <w:spacing w:val="-7"/>
          <w:sz w:val="24"/>
        </w:rPr>
        <w:t> </w:t>
      </w:r>
      <w:r>
        <w:rPr>
          <w:sz w:val="24"/>
        </w:rPr>
        <w:t>in</w:t>
      </w:r>
      <w:r>
        <w:rPr>
          <w:spacing w:val="-7"/>
          <w:sz w:val="24"/>
        </w:rPr>
        <w:t> </w:t>
      </w:r>
      <w:r>
        <w:rPr>
          <w:sz w:val="24"/>
        </w:rPr>
        <w:t>translating</w:t>
      </w:r>
      <w:r>
        <w:rPr>
          <w:spacing w:val="-7"/>
          <w:sz w:val="24"/>
        </w:rPr>
        <w:t> </w:t>
      </w:r>
      <w:r>
        <w:rPr>
          <w:sz w:val="24"/>
        </w:rPr>
        <w:t>working</w:t>
      </w:r>
      <w:r>
        <w:rPr>
          <w:spacing w:val="-7"/>
          <w:sz w:val="24"/>
        </w:rPr>
        <w:t> </w:t>
      </w:r>
      <w:r>
        <w:rPr>
          <w:sz w:val="24"/>
        </w:rPr>
        <w:t>capital investments into profits.</w:t>
      </w:r>
    </w:p>
    <w:p>
      <w:pPr>
        <w:pStyle w:val="BodyText"/>
        <w:spacing w:before="43"/>
      </w:pPr>
    </w:p>
    <w:p>
      <w:pPr>
        <w:pStyle w:val="BodyText"/>
        <w:spacing w:line="208" w:lineRule="auto" w:before="0"/>
        <w:ind w:left="120" w:right="1633"/>
      </w:pPr>
      <w:r>
        <w:rPr/>
        <w:t>Figure</w:t>
      </w:r>
      <w:r>
        <w:rPr>
          <w:spacing w:val="-4"/>
        </w:rPr>
        <w:t> </w:t>
      </w:r>
      <w:r>
        <w:rPr/>
        <w:t>5.5</w:t>
      </w:r>
      <w:r>
        <w:rPr>
          <w:spacing w:val="-4"/>
        </w:rPr>
        <w:t> </w:t>
      </w:r>
      <w:r>
        <w:rPr/>
        <w:t>illustrates</w:t>
      </w:r>
      <w:r>
        <w:rPr>
          <w:spacing w:val="-4"/>
        </w:rPr>
        <w:t> </w:t>
      </w:r>
      <w:r>
        <w:rPr/>
        <w:t>the</w:t>
      </w:r>
      <w:r>
        <w:rPr>
          <w:spacing w:val="-4"/>
        </w:rPr>
        <w:t> </w:t>
      </w:r>
      <w:r>
        <w:rPr/>
        <w:t>trends</w:t>
      </w:r>
      <w:r>
        <w:rPr>
          <w:spacing w:val="-4"/>
        </w:rPr>
        <w:t> </w:t>
      </w:r>
      <w:r>
        <w:rPr/>
        <w:t>in</w:t>
      </w:r>
      <w:r>
        <w:rPr>
          <w:spacing w:val="-4"/>
        </w:rPr>
        <w:t> </w:t>
      </w:r>
      <w:r>
        <w:rPr/>
        <w:t>RIL's</w:t>
      </w:r>
      <w:r>
        <w:rPr>
          <w:spacing w:val="-4"/>
        </w:rPr>
        <w:t> </w:t>
      </w:r>
      <w:r>
        <w:rPr/>
        <w:t>efficiency</w:t>
      </w:r>
      <w:r>
        <w:rPr>
          <w:spacing w:val="-4"/>
        </w:rPr>
        <w:t> </w:t>
      </w:r>
      <w:r>
        <w:rPr/>
        <w:t>ratios</w:t>
      </w:r>
      <w:r>
        <w:rPr>
          <w:spacing w:val="-4"/>
        </w:rPr>
        <w:t> </w:t>
      </w:r>
      <w:r>
        <w:rPr/>
        <w:t>compared</w:t>
      </w:r>
      <w:r>
        <w:rPr>
          <w:spacing w:val="-4"/>
        </w:rPr>
        <w:t> </w:t>
      </w:r>
      <w:r>
        <w:rPr/>
        <w:t>to</w:t>
      </w:r>
      <w:r>
        <w:rPr>
          <w:spacing w:val="-4"/>
        </w:rPr>
        <w:t> </w:t>
      </w:r>
      <w:r>
        <w:rPr/>
        <w:t>industry </w:t>
      </w:r>
      <w:r>
        <w:rPr>
          <w:spacing w:val="-2"/>
        </w:rPr>
        <w:t>averages:</w:t>
      </w:r>
    </w:p>
    <w:p>
      <w:pPr>
        <w:pStyle w:val="BodyText"/>
        <w:spacing w:before="57"/>
      </w:pPr>
    </w:p>
    <w:p>
      <w:pPr>
        <w:spacing w:before="0"/>
        <w:ind w:left="120" w:right="0" w:firstLine="0"/>
        <w:jc w:val="left"/>
        <w:rPr>
          <w:rFonts w:ascii="Arial"/>
          <w:b/>
          <w:i/>
          <w:sz w:val="28"/>
        </w:rPr>
      </w:pPr>
      <w:r>
        <w:rPr>
          <w:rFonts w:ascii="Arial"/>
          <w:b/>
          <w:i/>
          <w:sz w:val="28"/>
        </w:rPr>
        <w:t>Figure 5.5: Working Capital Turnover vs Industry </w:t>
      </w:r>
      <w:r>
        <w:rPr>
          <w:rFonts w:ascii="Arial"/>
          <w:b/>
          <w:i/>
          <w:spacing w:val="-5"/>
          <w:sz w:val="28"/>
        </w:rPr>
        <w:t>Avg</w:t>
      </w:r>
    </w:p>
    <w:p>
      <w:pPr>
        <w:pStyle w:val="BodyText"/>
        <w:spacing w:before="1"/>
        <w:rPr>
          <w:rFonts w:ascii="Arial"/>
          <w:b/>
          <w:i/>
          <w:sz w:val="9"/>
        </w:rPr>
      </w:pPr>
      <w:r>
        <w:rPr>
          <w:rFonts w:ascii="Arial"/>
          <w:b/>
          <w:i/>
          <w:sz w:val="9"/>
        </w:rPr>
        <w:drawing>
          <wp:anchor distT="0" distB="0" distL="0" distR="0" allowOverlap="1" layoutInCell="1" locked="0" behindDoc="1" simplePos="0" relativeHeight="487590912">
            <wp:simplePos x="0" y="0"/>
            <wp:positionH relativeFrom="page">
              <wp:posOffset>1225296</wp:posOffset>
            </wp:positionH>
            <wp:positionV relativeFrom="paragraph">
              <wp:posOffset>82201</wp:posOffset>
            </wp:positionV>
            <wp:extent cx="5327294" cy="259003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327294" cy="2590038"/>
                    </a:xfrm>
                    <a:prstGeom prst="rect">
                      <a:avLst/>
                    </a:prstGeom>
                  </pic:spPr>
                </pic:pic>
              </a:graphicData>
            </a:graphic>
          </wp:anchor>
        </w:drawing>
      </w:r>
    </w:p>
    <w:p>
      <w:pPr>
        <w:pStyle w:val="BodyText"/>
        <w:spacing w:before="151"/>
        <w:rPr>
          <w:rFonts w:ascii="Arial"/>
          <w:b/>
          <w:i/>
          <w:sz w:val="28"/>
        </w:rPr>
      </w:pPr>
    </w:p>
    <w:p>
      <w:pPr>
        <w:pStyle w:val="Heading2"/>
        <w:numPr>
          <w:ilvl w:val="1"/>
          <w:numId w:val="3"/>
        </w:numPr>
        <w:tabs>
          <w:tab w:pos="653" w:val="left" w:leader="none"/>
        </w:tabs>
        <w:spacing w:line="240" w:lineRule="auto" w:before="0" w:after="0"/>
        <w:ind w:left="653" w:right="0" w:hanging="533"/>
        <w:jc w:val="left"/>
      </w:pPr>
      <w:r>
        <w:rPr/>
        <w:t>Segment-wise Working Capital </w:t>
      </w:r>
      <w:r>
        <w:rPr>
          <w:spacing w:val="-2"/>
        </w:rPr>
        <w:t>Analysis</w:t>
      </w:r>
    </w:p>
    <w:p>
      <w:pPr>
        <w:pStyle w:val="BodyText"/>
        <w:spacing w:before="8"/>
        <w:rPr>
          <w:rFonts w:ascii="Arial"/>
          <w:b/>
          <w:sz w:val="32"/>
        </w:rPr>
      </w:pPr>
    </w:p>
    <w:p>
      <w:pPr>
        <w:pStyle w:val="BodyText"/>
        <w:spacing w:line="208" w:lineRule="auto" w:before="0"/>
        <w:ind w:left="120" w:right="1633"/>
      </w:pPr>
      <w:r>
        <w:rPr/>
        <w:t>This</w:t>
      </w:r>
      <w:r>
        <w:rPr>
          <w:spacing w:val="-5"/>
        </w:rPr>
        <w:t> </w:t>
      </w:r>
      <w:r>
        <w:rPr/>
        <w:t>section</w:t>
      </w:r>
      <w:r>
        <w:rPr>
          <w:spacing w:val="-5"/>
        </w:rPr>
        <w:t> </w:t>
      </w:r>
      <w:r>
        <w:rPr/>
        <w:t>examines</w:t>
      </w:r>
      <w:r>
        <w:rPr>
          <w:spacing w:val="-5"/>
        </w:rPr>
        <w:t> </w:t>
      </w:r>
      <w:r>
        <w:rPr/>
        <w:t>working</w:t>
      </w:r>
      <w:r>
        <w:rPr>
          <w:spacing w:val="-5"/>
        </w:rPr>
        <w:t> </w:t>
      </w:r>
      <w:r>
        <w:rPr/>
        <w:t>capital</w:t>
      </w:r>
      <w:r>
        <w:rPr>
          <w:spacing w:val="-5"/>
        </w:rPr>
        <w:t> </w:t>
      </w:r>
      <w:r>
        <w:rPr/>
        <w:t>management</w:t>
      </w:r>
      <w:r>
        <w:rPr>
          <w:spacing w:val="-5"/>
        </w:rPr>
        <w:t> </w:t>
      </w:r>
      <w:r>
        <w:rPr/>
        <w:t>across</w:t>
      </w:r>
      <w:r>
        <w:rPr>
          <w:spacing w:val="-5"/>
        </w:rPr>
        <w:t> </w:t>
      </w:r>
      <w:r>
        <w:rPr/>
        <w:t>RIL's</w:t>
      </w:r>
      <w:r>
        <w:rPr>
          <w:spacing w:val="-5"/>
        </w:rPr>
        <w:t> </w:t>
      </w:r>
      <w:r>
        <w:rPr/>
        <w:t>major</w:t>
      </w:r>
      <w:r>
        <w:rPr>
          <w:spacing w:val="-5"/>
        </w:rPr>
        <w:t> </w:t>
      </w:r>
      <w:r>
        <w:rPr/>
        <w:t>business segments, highlighting segment-specific requirements and approaches.</w:t>
      </w:r>
    </w:p>
    <w:p>
      <w:pPr>
        <w:pStyle w:val="BodyText"/>
        <w:spacing w:before="57"/>
      </w:pPr>
    </w:p>
    <w:p>
      <w:pPr>
        <w:pStyle w:val="Heading3"/>
        <w:numPr>
          <w:ilvl w:val="2"/>
          <w:numId w:val="3"/>
        </w:numPr>
        <w:tabs>
          <w:tab w:pos="820" w:val="left" w:leader="none"/>
        </w:tabs>
        <w:spacing w:line="240" w:lineRule="auto" w:before="0" w:after="0"/>
        <w:ind w:left="820" w:right="0" w:hanging="700"/>
        <w:jc w:val="left"/>
      </w:pPr>
      <w:r>
        <w:rPr/>
        <w:t>Oil to Chemicals (O2C) </w:t>
      </w:r>
      <w:r>
        <w:rPr>
          <w:spacing w:val="-2"/>
        </w:rPr>
        <w:t>Segment</w:t>
      </w:r>
    </w:p>
    <w:p>
      <w:pPr>
        <w:pStyle w:val="Heading3"/>
        <w:spacing w:after="0" w:line="240" w:lineRule="auto"/>
        <w:jc w:val="left"/>
        <w:sectPr>
          <w:pgSz w:w="12240" w:h="15840"/>
          <w:pgMar w:top="1500" w:bottom="280" w:left="1440" w:right="0"/>
        </w:sectPr>
      </w:pPr>
    </w:p>
    <w:p>
      <w:pPr>
        <w:pStyle w:val="BodyText"/>
        <w:spacing w:before="75"/>
        <w:ind w:left="120"/>
      </w:pPr>
      <w:r>
        <w:rPr/>
        <w:t>Table 5.7 presents key working capital metrics for RIL's O2C </w:t>
      </w:r>
      <w:r>
        <w:rPr>
          <w:spacing w:val="-2"/>
        </w:rPr>
        <w:t>segment:</w:t>
      </w:r>
    </w:p>
    <w:p>
      <w:pPr>
        <w:pStyle w:val="BodyText"/>
        <w:spacing w:before="7"/>
      </w:pPr>
    </w:p>
    <w:p>
      <w:pPr>
        <w:pStyle w:val="Heading4"/>
        <w:spacing w:before="1"/>
      </w:pPr>
      <w:r>
        <w:rPr/>
        <w:t>Table 5.7: Working Capital Analysis - O2C Segment (FY2020-21 to FY2024-</w:t>
      </w:r>
      <w:r>
        <w:rPr>
          <w:spacing w:val="-5"/>
        </w:rPr>
        <w:t>25)</w:t>
      </w:r>
    </w:p>
    <w:p>
      <w:pPr>
        <w:pStyle w:val="BodyText"/>
        <w:spacing w:before="6"/>
        <w:rPr>
          <w:rFonts w:ascii="Arial"/>
          <w:b/>
          <w:sz w:val="12"/>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4"/>
        <w:gridCol w:w="1229"/>
        <w:gridCol w:w="1229"/>
        <w:gridCol w:w="1229"/>
        <w:gridCol w:w="1229"/>
        <w:gridCol w:w="1229"/>
        <w:gridCol w:w="940"/>
      </w:tblGrid>
      <w:tr>
        <w:trPr>
          <w:trHeight w:val="350" w:hRule="atLeast"/>
        </w:trPr>
        <w:tc>
          <w:tcPr>
            <w:tcW w:w="3104" w:type="dxa"/>
            <w:shd w:val="clear" w:color="auto" w:fill="D3D3D3"/>
          </w:tcPr>
          <w:p>
            <w:pPr>
              <w:pStyle w:val="TableParagraph"/>
              <w:ind w:left="58" w:right="48"/>
              <w:jc w:val="center"/>
              <w:rPr>
                <w:sz w:val="20"/>
              </w:rPr>
            </w:pPr>
            <w:r>
              <w:rPr>
                <w:spacing w:val="-2"/>
                <w:sz w:val="20"/>
              </w:rPr>
              <w:t>Metric</w:t>
            </w:r>
          </w:p>
        </w:tc>
        <w:tc>
          <w:tcPr>
            <w:tcW w:w="1229" w:type="dxa"/>
            <w:shd w:val="clear" w:color="auto" w:fill="D3D3D3"/>
          </w:tcPr>
          <w:p>
            <w:pPr>
              <w:pStyle w:val="TableParagraph"/>
              <w:rPr>
                <w:sz w:val="20"/>
              </w:rPr>
            </w:pPr>
            <w:r>
              <w:rPr>
                <w:sz w:val="20"/>
              </w:rPr>
              <w:t>FY2020-</w:t>
            </w:r>
            <w:r>
              <w:rPr>
                <w:spacing w:val="-5"/>
                <w:sz w:val="20"/>
              </w:rPr>
              <w:t>21</w:t>
            </w:r>
          </w:p>
        </w:tc>
        <w:tc>
          <w:tcPr>
            <w:tcW w:w="1229" w:type="dxa"/>
            <w:shd w:val="clear" w:color="auto" w:fill="D3D3D3"/>
          </w:tcPr>
          <w:p>
            <w:pPr>
              <w:pStyle w:val="TableParagraph"/>
              <w:rPr>
                <w:sz w:val="20"/>
              </w:rPr>
            </w:pPr>
            <w:r>
              <w:rPr>
                <w:sz w:val="20"/>
              </w:rPr>
              <w:t>FY2021-</w:t>
            </w:r>
            <w:r>
              <w:rPr>
                <w:spacing w:val="-5"/>
                <w:sz w:val="20"/>
              </w:rPr>
              <w:t>22</w:t>
            </w:r>
          </w:p>
        </w:tc>
        <w:tc>
          <w:tcPr>
            <w:tcW w:w="1229" w:type="dxa"/>
            <w:shd w:val="clear" w:color="auto" w:fill="D3D3D3"/>
          </w:tcPr>
          <w:p>
            <w:pPr>
              <w:pStyle w:val="TableParagraph"/>
              <w:ind w:left="121"/>
              <w:rPr>
                <w:sz w:val="20"/>
              </w:rPr>
            </w:pPr>
            <w:r>
              <w:rPr>
                <w:sz w:val="20"/>
              </w:rPr>
              <w:t>FY2022-</w:t>
            </w:r>
            <w:r>
              <w:rPr>
                <w:spacing w:val="-5"/>
                <w:sz w:val="20"/>
              </w:rPr>
              <w:t>23</w:t>
            </w:r>
          </w:p>
        </w:tc>
        <w:tc>
          <w:tcPr>
            <w:tcW w:w="1229" w:type="dxa"/>
            <w:shd w:val="clear" w:color="auto" w:fill="D3D3D3"/>
          </w:tcPr>
          <w:p>
            <w:pPr>
              <w:pStyle w:val="TableParagraph"/>
              <w:ind w:left="121"/>
              <w:rPr>
                <w:sz w:val="20"/>
              </w:rPr>
            </w:pPr>
            <w:r>
              <w:rPr>
                <w:sz w:val="20"/>
              </w:rPr>
              <w:t>FY2023-</w:t>
            </w:r>
            <w:r>
              <w:rPr>
                <w:spacing w:val="-5"/>
                <w:sz w:val="20"/>
              </w:rPr>
              <w:t>24</w:t>
            </w:r>
          </w:p>
        </w:tc>
        <w:tc>
          <w:tcPr>
            <w:tcW w:w="1229" w:type="dxa"/>
            <w:shd w:val="clear" w:color="auto" w:fill="D3D3D3"/>
          </w:tcPr>
          <w:p>
            <w:pPr>
              <w:pStyle w:val="TableParagraph"/>
              <w:ind w:left="121"/>
              <w:rPr>
                <w:sz w:val="20"/>
              </w:rPr>
            </w:pPr>
            <w:r>
              <w:rPr>
                <w:sz w:val="20"/>
              </w:rPr>
              <w:t>FY2024-</w:t>
            </w:r>
            <w:r>
              <w:rPr>
                <w:spacing w:val="-5"/>
                <w:sz w:val="20"/>
              </w:rPr>
              <w:t>25</w:t>
            </w:r>
          </w:p>
        </w:tc>
        <w:tc>
          <w:tcPr>
            <w:tcW w:w="940" w:type="dxa"/>
            <w:shd w:val="clear" w:color="auto" w:fill="D3D3D3"/>
          </w:tcPr>
          <w:p>
            <w:pPr>
              <w:pStyle w:val="TableParagraph"/>
              <w:ind w:left="122"/>
              <w:rPr>
                <w:sz w:val="20"/>
              </w:rPr>
            </w:pPr>
            <w:r>
              <w:rPr>
                <w:spacing w:val="-2"/>
                <w:sz w:val="20"/>
              </w:rPr>
              <w:t>Change</w:t>
            </w:r>
          </w:p>
        </w:tc>
      </w:tr>
      <w:tr>
        <w:trPr>
          <w:trHeight w:val="350" w:hRule="atLeast"/>
        </w:trPr>
        <w:tc>
          <w:tcPr>
            <w:tcW w:w="3104" w:type="dxa"/>
          </w:tcPr>
          <w:p>
            <w:pPr>
              <w:pStyle w:val="TableParagraph"/>
              <w:spacing w:before="55"/>
              <w:rPr>
                <w:sz w:val="20"/>
              </w:rPr>
            </w:pPr>
            <w:r>
              <w:rPr>
                <w:sz w:val="20"/>
              </w:rPr>
              <w:t>Segment Revenue (</w:t>
            </w:r>
            <w:r>
              <w:rPr>
                <w:rFonts w:ascii="MS Gothic" w:hAnsi="MS Gothic"/>
                <w:sz w:val="20"/>
              </w:rPr>
              <w:t>■</w:t>
            </w:r>
            <w:r>
              <w:rPr>
                <w:rFonts w:ascii="Times New Roman" w:hAnsi="Times New Roman"/>
                <w:spacing w:val="5"/>
                <w:sz w:val="20"/>
              </w:rPr>
              <w:t> </w:t>
            </w:r>
            <w:r>
              <w:rPr>
                <w:sz w:val="20"/>
              </w:rPr>
              <w:t>in </w:t>
            </w:r>
            <w:r>
              <w:rPr>
                <w:spacing w:val="-2"/>
                <w:sz w:val="20"/>
              </w:rPr>
              <w:t>Crores)</w:t>
            </w:r>
          </w:p>
        </w:tc>
        <w:tc>
          <w:tcPr>
            <w:tcW w:w="1229" w:type="dxa"/>
          </w:tcPr>
          <w:p>
            <w:pPr>
              <w:pStyle w:val="TableParagraph"/>
              <w:rPr>
                <w:sz w:val="20"/>
              </w:rPr>
            </w:pPr>
            <w:r>
              <w:rPr>
                <w:spacing w:val="-2"/>
                <w:sz w:val="20"/>
              </w:rPr>
              <w:t>287,215</w:t>
            </w:r>
          </w:p>
        </w:tc>
        <w:tc>
          <w:tcPr>
            <w:tcW w:w="1229" w:type="dxa"/>
          </w:tcPr>
          <w:p>
            <w:pPr>
              <w:pStyle w:val="TableParagraph"/>
              <w:rPr>
                <w:sz w:val="20"/>
              </w:rPr>
            </w:pPr>
            <w:r>
              <w:rPr>
                <w:spacing w:val="-2"/>
                <w:sz w:val="20"/>
              </w:rPr>
              <w:t>312,417</w:t>
            </w:r>
          </w:p>
        </w:tc>
        <w:tc>
          <w:tcPr>
            <w:tcW w:w="1229" w:type="dxa"/>
          </w:tcPr>
          <w:p>
            <w:pPr>
              <w:pStyle w:val="TableParagraph"/>
              <w:ind w:left="121"/>
              <w:rPr>
                <w:sz w:val="20"/>
              </w:rPr>
            </w:pPr>
            <w:r>
              <w:rPr>
                <w:spacing w:val="-2"/>
                <w:sz w:val="20"/>
              </w:rPr>
              <w:t>329,013</w:t>
            </w:r>
          </w:p>
        </w:tc>
        <w:tc>
          <w:tcPr>
            <w:tcW w:w="1229" w:type="dxa"/>
          </w:tcPr>
          <w:p>
            <w:pPr>
              <w:pStyle w:val="TableParagraph"/>
              <w:ind w:left="121"/>
              <w:rPr>
                <w:sz w:val="20"/>
              </w:rPr>
            </w:pPr>
            <w:r>
              <w:rPr>
                <w:spacing w:val="-2"/>
                <w:sz w:val="20"/>
              </w:rPr>
              <w:t>354,193</w:t>
            </w:r>
          </w:p>
        </w:tc>
        <w:tc>
          <w:tcPr>
            <w:tcW w:w="1229" w:type="dxa"/>
          </w:tcPr>
          <w:p>
            <w:pPr>
              <w:pStyle w:val="TableParagraph"/>
              <w:ind w:left="121"/>
              <w:rPr>
                <w:sz w:val="20"/>
              </w:rPr>
            </w:pPr>
            <w:r>
              <w:rPr>
                <w:spacing w:val="-2"/>
                <w:sz w:val="20"/>
              </w:rPr>
              <w:t>365,058</w:t>
            </w:r>
          </w:p>
        </w:tc>
        <w:tc>
          <w:tcPr>
            <w:tcW w:w="940" w:type="dxa"/>
          </w:tcPr>
          <w:p>
            <w:pPr>
              <w:pStyle w:val="TableParagraph"/>
              <w:ind w:left="122"/>
              <w:rPr>
                <w:sz w:val="20"/>
              </w:rPr>
            </w:pPr>
            <w:r>
              <w:rPr>
                <w:spacing w:val="-2"/>
                <w:sz w:val="20"/>
              </w:rPr>
              <w:t>+27.1%</w:t>
            </w:r>
          </w:p>
        </w:tc>
      </w:tr>
      <w:tr>
        <w:trPr>
          <w:trHeight w:val="350" w:hRule="atLeast"/>
        </w:trPr>
        <w:tc>
          <w:tcPr>
            <w:tcW w:w="3104" w:type="dxa"/>
          </w:tcPr>
          <w:p>
            <w:pPr>
              <w:pStyle w:val="TableParagraph"/>
              <w:spacing w:before="55"/>
              <w:rPr>
                <w:sz w:val="20"/>
              </w:rPr>
            </w:pPr>
            <w:r>
              <w:rPr>
                <w:sz w:val="20"/>
              </w:rPr>
              <w:t>Working Capital (</w:t>
            </w:r>
            <w:r>
              <w:rPr>
                <w:rFonts w:ascii="MS Gothic" w:hAnsi="MS Gothic"/>
                <w:sz w:val="20"/>
              </w:rPr>
              <w:t>■</w:t>
            </w:r>
            <w:r>
              <w:rPr>
                <w:rFonts w:ascii="Times New Roman" w:hAnsi="Times New Roman"/>
                <w:spacing w:val="5"/>
                <w:sz w:val="20"/>
              </w:rPr>
              <w:t> </w:t>
            </w:r>
            <w:r>
              <w:rPr>
                <w:sz w:val="20"/>
              </w:rPr>
              <w:t>in </w:t>
            </w:r>
            <w:r>
              <w:rPr>
                <w:spacing w:val="-2"/>
                <w:sz w:val="20"/>
              </w:rPr>
              <w:t>Crores)</w:t>
            </w:r>
          </w:p>
        </w:tc>
        <w:tc>
          <w:tcPr>
            <w:tcW w:w="1229" w:type="dxa"/>
          </w:tcPr>
          <w:p>
            <w:pPr>
              <w:pStyle w:val="TableParagraph"/>
              <w:rPr>
                <w:sz w:val="20"/>
              </w:rPr>
            </w:pPr>
            <w:r>
              <w:rPr>
                <w:spacing w:val="-2"/>
                <w:sz w:val="20"/>
              </w:rPr>
              <w:t>42,516</w:t>
            </w:r>
          </w:p>
        </w:tc>
        <w:tc>
          <w:tcPr>
            <w:tcW w:w="1229" w:type="dxa"/>
          </w:tcPr>
          <w:p>
            <w:pPr>
              <w:pStyle w:val="TableParagraph"/>
              <w:rPr>
                <w:sz w:val="20"/>
              </w:rPr>
            </w:pPr>
            <w:r>
              <w:rPr>
                <w:spacing w:val="-2"/>
                <w:sz w:val="20"/>
              </w:rPr>
              <w:t>43,257</w:t>
            </w:r>
          </w:p>
        </w:tc>
        <w:tc>
          <w:tcPr>
            <w:tcW w:w="1229" w:type="dxa"/>
          </w:tcPr>
          <w:p>
            <w:pPr>
              <w:pStyle w:val="TableParagraph"/>
              <w:ind w:left="121"/>
              <w:rPr>
                <w:sz w:val="20"/>
              </w:rPr>
            </w:pPr>
            <w:r>
              <w:rPr>
                <w:spacing w:val="-2"/>
                <w:sz w:val="20"/>
              </w:rPr>
              <w:t>40,689</w:t>
            </w:r>
          </w:p>
        </w:tc>
        <w:tc>
          <w:tcPr>
            <w:tcW w:w="1229" w:type="dxa"/>
          </w:tcPr>
          <w:p>
            <w:pPr>
              <w:pStyle w:val="TableParagraph"/>
              <w:ind w:left="121"/>
              <w:rPr>
                <w:sz w:val="20"/>
              </w:rPr>
            </w:pPr>
            <w:r>
              <w:rPr>
                <w:spacing w:val="-2"/>
                <w:sz w:val="20"/>
              </w:rPr>
              <w:t>41,325</w:t>
            </w:r>
          </w:p>
        </w:tc>
        <w:tc>
          <w:tcPr>
            <w:tcW w:w="1229" w:type="dxa"/>
          </w:tcPr>
          <w:p>
            <w:pPr>
              <w:pStyle w:val="TableParagraph"/>
              <w:ind w:left="121"/>
              <w:rPr>
                <w:sz w:val="20"/>
              </w:rPr>
            </w:pPr>
            <w:r>
              <w:rPr>
                <w:spacing w:val="-2"/>
                <w:sz w:val="20"/>
              </w:rPr>
              <w:t>39,746</w:t>
            </w:r>
          </w:p>
        </w:tc>
        <w:tc>
          <w:tcPr>
            <w:tcW w:w="940" w:type="dxa"/>
          </w:tcPr>
          <w:p>
            <w:pPr>
              <w:pStyle w:val="TableParagraph"/>
              <w:ind w:left="122"/>
              <w:rPr>
                <w:sz w:val="20"/>
              </w:rPr>
            </w:pPr>
            <w:r>
              <w:rPr>
                <w:sz w:val="20"/>
              </w:rPr>
              <w:t>-</w:t>
            </w:r>
            <w:r>
              <w:rPr>
                <w:spacing w:val="-4"/>
                <w:sz w:val="20"/>
              </w:rPr>
              <w:t>6.5%</w:t>
            </w:r>
          </w:p>
        </w:tc>
      </w:tr>
      <w:tr>
        <w:trPr>
          <w:trHeight w:val="350" w:hRule="atLeast"/>
        </w:trPr>
        <w:tc>
          <w:tcPr>
            <w:tcW w:w="3104" w:type="dxa"/>
          </w:tcPr>
          <w:p>
            <w:pPr>
              <w:pStyle w:val="TableParagraph"/>
              <w:rPr>
                <w:sz w:val="20"/>
              </w:rPr>
            </w:pPr>
            <w:r>
              <w:rPr>
                <w:sz w:val="20"/>
              </w:rPr>
              <w:t>WC as % of Segment </w:t>
            </w:r>
            <w:r>
              <w:rPr>
                <w:spacing w:val="-2"/>
                <w:sz w:val="20"/>
              </w:rPr>
              <w:t>Revenue</w:t>
            </w:r>
          </w:p>
        </w:tc>
        <w:tc>
          <w:tcPr>
            <w:tcW w:w="1229" w:type="dxa"/>
          </w:tcPr>
          <w:p>
            <w:pPr>
              <w:pStyle w:val="TableParagraph"/>
              <w:rPr>
                <w:sz w:val="20"/>
              </w:rPr>
            </w:pPr>
            <w:r>
              <w:rPr>
                <w:spacing w:val="-2"/>
                <w:sz w:val="20"/>
              </w:rPr>
              <w:t>14.8%</w:t>
            </w:r>
          </w:p>
        </w:tc>
        <w:tc>
          <w:tcPr>
            <w:tcW w:w="1229" w:type="dxa"/>
          </w:tcPr>
          <w:p>
            <w:pPr>
              <w:pStyle w:val="TableParagraph"/>
              <w:rPr>
                <w:sz w:val="20"/>
              </w:rPr>
            </w:pPr>
            <w:r>
              <w:rPr>
                <w:spacing w:val="-2"/>
                <w:sz w:val="20"/>
              </w:rPr>
              <w:t>13.8%</w:t>
            </w:r>
          </w:p>
        </w:tc>
        <w:tc>
          <w:tcPr>
            <w:tcW w:w="1229" w:type="dxa"/>
          </w:tcPr>
          <w:p>
            <w:pPr>
              <w:pStyle w:val="TableParagraph"/>
              <w:ind w:left="121"/>
              <w:rPr>
                <w:sz w:val="20"/>
              </w:rPr>
            </w:pPr>
            <w:r>
              <w:rPr>
                <w:spacing w:val="-2"/>
                <w:sz w:val="20"/>
              </w:rPr>
              <w:t>12.4%</w:t>
            </w:r>
          </w:p>
        </w:tc>
        <w:tc>
          <w:tcPr>
            <w:tcW w:w="1229" w:type="dxa"/>
          </w:tcPr>
          <w:p>
            <w:pPr>
              <w:pStyle w:val="TableParagraph"/>
              <w:ind w:left="121"/>
              <w:rPr>
                <w:sz w:val="20"/>
              </w:rPr>
            </w:pPr>
            <w:r>
              <w:rPr>
                <w:spacing w:val="-2"/>
                <w:sz w:val="20"/>
              </w:rPr>
              <w:t>11.7%</w:t>
            </w:r>
          </w:p>
        </w:tc>
        <w:tc>
          <w:tcPr>
            <w:tcW w:w="1229" w:type="dxa"/>
          </w:tcPr>
          <w:p>
            <w:pPr>
              <w:pStyle w:val="TableParagraph"/>
              <w:ind w:left="121"/>
              <w:rPr>
                <w:sz w:val="20"/>
              </w:rPr>
            </w:pPr>
            <w:r>
              <w:rPr>
                <w:spacing w:val="-2"/>
                <w:sz w:val="20"/>
              </w:rPr>
              <w:t>10.9%</w:t>
            </w:r>
          </w:p>
        </w:tc>
        <w:tc>
          <w:tcPr>
            <w:tcW w:w="940" w:type="dxa"/>
          </w:tcPr>
          <w:p>
            <w:pPr>
              <w:pStyle w:val="TableParagraph"/>
              <w:ind w:left="122"/>
              <w:rPr>
                <w:sz w:val="20"/>
              </w:rPr>
            </w:pPr>
            <w:r>
              <w:rPr>
                <w:sz w:val="20"/>
              </w:rPr>
              <w:t>-</w:t>
            </w:r>
            <w:r>
              <w:rPr>
                <w:spacing w:val="-4"/>
                <w:sz w:val="20"/>
              </w:rPr>
              <w:t>3.9%</w:t>
            </w:r>
          </w:p>
        </w:tc>
      </w:tr>
      <w:tr>
        <w:trPr>
          <w:trHeight w:val="350" w:hRule="atLeast"/>
        </w:trPr>
        <w:tc>
          <w:tcPr>
            <w:tcW w:w="3104" w:type="dxa"/>
          </w:tcPr>
          <w:p>
            <w:pPr>
              <w:pStyle w:val="TableParagraph"/>
              <w:rPr>
                <w:sz w:val="20"/>
              </w:rPr>
            </w:pPr>
            <w:r>
              <w:rPr>
                <w:sz w:val="20"/>
              </w:rPr>
              <w:t>Inventory </w:t>
            </w:r>
            <w:r>
              <w:rPr>
                <w:spacing w:val="-4"/>
                <w:sz w:val="20"/>
              </w:rPr>
              <w:t>Days</w:t>
            </w:r>
          </w:p>
        </w:tc>
        <w:tc>
          <w:tcPr>
            <w:tcW w:w="1229" w:type="dxa"/>
          </w:tcPr>
          <w:p>
            <w:pPr>
              <w:pStyle w:val="TableParagraph"/>
              <w:rPr>
                <w:sz w:val="20"/>
              </w:rPr>
            </w:pPr>
            <w:r>
              <w:rPr>
                <w:spacing w:val="-4"/>
                <w:sz w:val="20"/>
              </w:rPr>
              <w:t>56.3</w:t>
            </w:r>
          </w:p>
        </w:tc>
        <w:tc>
          <w:tcPr>
            <w:tcW w:w="1229" w:type="dxa"/>
          </w:tcPr>
          <w:p>
            <w:pPr>
              <w:pStyle w:val="TableParagraph"/>
              <w:rPr>
                <w:sz w:val="20"/>
              </w:rPr>
            </w:pPr>
            <w:r>
              <w:rPr>
                <w:spacing w:val="-4"/>
                <w:sz w:val="20"/>
              </w:rPr>
              <w:t>52.6</w:t>
            </w:r>
          </w:p>
        </w:tc>
        <w:tc>
          <w:tcPr>
            <w:tcW w:w="1229" w:type="dxa"/>
          </w:tcPr>
          <w:p>
            <w:pPr>
              <w:pStyle w:val="TableParagraph"/>
              <w:ind w:left="121"/>
              <w:rPr>
                <w:sz w:val="20"/>
              </w:rPr>
            </w:pPr>
            <w:r>
              <w:rPr>
                <w:spacing w:val="-4"/>
                <w:sz w:val="20"/>
              </w:rPr>
              <w:t>48.4</w:t>
            </w:r>
          </w:p>
        </w:tc>
        <w:tc>
          <w:tcPr>
            <w:tcW w:w="1229" w:type="dxa"/>
          </w:tcPr>
          <w:p>
            <w:pPr>
              <w:pStyle w:val="TableParagraph"/>
              <w:ind w:left="121"/>
              <w:rPr>
                <w:sz w:val="20"/>
              </w:rPr>
            </w:pPr>
            <w:r>
              <w:rPr>
                <w:spacing w:val="-4"/>
                <w:sz w:val="20"/>
              </w:rPr>
              <w:t>46.1</w:t>
            </w:r>
          </w:p>
        </w:tc>
        <w:tc>
          <w:tcPr>
            <w:tcW w:w="1229" w:type="dxa"/>
          </w:tcPr>
          <w:p>
            <w:pPr>
              <w:pStyle w:val="TableParagraph"/>
              <w:ind w:left="121"/>
              <w:rPr>
                <w:sz w:val="20"/>
              </w:rPr>
            </w:pPr>
            <w:r>
              <w:rPr>
                <w:spacing w:val="-4"/>
                <w:sz w:val="20"/>
              </w:rPr>
              <w:t>43.7</w:t>
            </w:r>
          </w:p>
        </w:tc>
        <w:tc>
          <w:tcPr>
            <w:tcW w:w="940" w:type="dxa"/>
          </w:tcPr>
          <w:p>
            <w:pPr>
              <w:pStyle w:val="TableParagraph"/>
              <w:ind w:left="122"/>
              <w:rPr>
                <w:sz w:val="20"/>
              </w:rPr>
            </w:pPr>
            <w:r>
              <w:rPr>
                <w:sz w:val="20"/>
              </w:rPr>
              <w:t>-</w:t>
            </w:r>
            <w:r>
              <w:rPr>
                <w:spacing w:val="-4"/>
                <w:sz w:val="20"/>
              </w:rPr>
              <w:t>12.6</w:t>
            </w:r>
          </w:p>
        </w:tc>
      </w:tr>
      <w:tr>
        <w:trPr>
          <w:trHeight w:val="350" w:hRule="atLeast"/>
        </w:trPr>
        <w:tc>
          <w:tcPr>
            <w:tcW w:w="3104" w:type="dxa"/>
          </w:tcPr>
          <w:p>
            <w:pPr>
              <w:pStyle w:val="TableParagraph"/>
              <w:rPr>
                <w:sz w:val="20"/>
              </w:rPr>
            </w:pPr>
            <w:r>
              <w:rPr>
                <w:sz w:val="20"/>
              </w:rPr>
              <w:t>Receivables </w:t>
            </w:r>
            <w:r>
              <w:rPr>
                <w:spacing w:val="-4"/>
                <w:sz w:val="20"/>
              </w:rPr>
              <w:t>Days</w:t>
            </w:r>
          </w:p>
        </w:tc>
        <w:tc>
          <w:tcPr>
            <w:tcW w:w="1229" w:type="dxa"/>
          </w:tcPr>
          <w:p>
            <w:pPr>
              <w:pStyle w:val="TableParagraph"/>
              <w:rPr>
                <w:sz w:val="20"/>
              </w:rPr>
            </w:pPr>
            <w:r>
              <w:rPr>
                <w:spacing w:val="-5"/>
                <w:sz w:val="20"/>
              </w:rPr>
              <w:t>9.7</w:t>
            </w:r>
          </w:p>
        </w:tc>
        <w:tc>
          <w:tcPr>
            <w:tcW w:w="1229" w:type="dxa"/>
          </w:tcPr>
          <w:p>
            <w:pPr>
              <w:pStyle w:val="TableParagraph"/>
              <w:rPr>
                <w:sz w:val="20"/>
              </w:rPr>
            </w:pPr>
            <w:r>
              <w:rPr>
                <w:spacing w:val="-5"/>
                <w:sz w:val="20"/>
              </w:rPr>
              <w:t>9.2</w:t>
            </w:r>
          </w:p>
        </w:tc>
        <w:tc>
          <w:tcPr>
            <w:tcW w:w="1229" w:type="dxa"/>
          </w:tcPr>
          <w:p>
            <w:pPr>
              <w:pStyle w:val="TableParagraph"/>
              <w:ind w:left="121"/>
              <w:rPr>
                <w:sz w:val="20"/>
              </w:rPr>
            </w:pPr>
            <w:r>
              <w:rPr>
                <w:spacing w:val="-5"/>
                <w:sz w:val="20"/>
              </w:rPr>
              <w:t>8.7</w:t>
            </w:r>
          </w:p>
        </w:tc>
        <w:tc>
          <w:tcPr>
            <w:tcW w:w="1229" w:type="dxa"/>
          </w:tcPr>
          <w:p>
            <w:pPr>
              <w:pStyle w:val="TableParagraph"/>
              <w:ind w:left="121"/>
              <w:rPr>
                <w:sz w:val="20"/>
              </w:rPr>
            </w:pPr>
            <w:r>
              <w:rPr>
                <w:spacing w:val="-5"/>
                <w:sz w:val="20"/>
              </w:rPr>
              <w:t>7.9</w:t>
            </w:r>
          </w:p>
        </w:tc>
        <w:tc>
          <w:tcPr>
            <w:tcW w:w="1229" w:type="dxa"/>
          </w:tcPr>
          <w:p>
            <w:pPr>
              <w:pStyle w:val="TableParagraph"/>
              <w:ind w:left="121"/>
              <w:rPr>
                <w:sz w:val="20"/>
              </w:rPr>
            </w:pPr>
            <w:r>
              <w:rPr>
                <w:spacing w:val="-5"/>
                <w:sz w:val="20"/>
              </w:rPr>
              <w:t>7.2</w:t>
            </w:r>
          </w:p>
        </w:tc>
        <w:tc>
          <w:tcPr>
            <w:tcW w:w="940" w:type="dxa"/>
          </w:tcPr>
          <w:p>
            <w:pPr>
              <w:pStyle w:val="TableParagraph"/>
              <w:ind w:left="122"/>
              <w:rPr>
                <w:sz w:val="20"/>
              </w:rPr>
            </w:pPr>
            <w:r>
              <w:rPr>
                <w:sz w:val="20"/>
              </w:rPr>
              <w:t>-</w:t>
            </w:r>
            <w:r>
              <w:rPr>
                <w:spacing w:val="-5"/>
                <w:sz w:val="20"/>
              </w:rPr>
              <w:t>2.5</w:t>
            </w:r>
          </w:p>
        </w:tc>
      </w:tr>
      <w:tr>
        <w:trPr>
          <w:trHeight w:val="350" w:hRule="atLeast"/>
        </w:trPr>
        <w:tc>
          <w:tcPr>
            <w:tcW w:w="3104" w:type="dxa"/>
          </w:tcPr>
          <w:p>
            <w:pPr>
              <w:pStyle w:val="TableParagraph"/>
              <w:rPr>
                <w:sz w:val="20"/>
              </w:rPr>
            </w:pPr>
            <w:r>
              <w:rPr>
                <w:sz w:val="20"/>
              </w:rPr>
              <w:t>Payables </w:t>
            </w:r>
            <w:r>
              <w:rPr>
                <w:spacing w:val="-4"/>
                <w:sz w:val="20"/>
              </w:rPr>
              <w:t>Days</w:t>
            </w:r>
          </w:p>
        </w:tc>
        <w:tc>
          <w:tcPr>
            <w:tcW w:w="1229" w:type="dxa"/>
          </w:tcPr>
          <w:p>
            <w:pPr>
              <w:pStyle w:val="TableParagraph"/>
              <w:rPr>
                <w:sz w:val="20"/>
              </w:rPr>
            </w:pPr>
            <w:r>
              <w:rPr>
                <w:spacing w:val="-4"/>
                <w:sz w:val="20"/>
              </w:rPr>
              <w:t>38.5</w:t>
            </w:r>
          </w:p>
        </w:tc>
        <w:tc>
          <w:tcPr>
            <w:tcW w:w="1229" w:type="dxa"/>
          </w:tcPr>
          <w:p>
            <w:pPr>
              <w:pStyle w:val="TableParagraph"/>
              <w:rPr>
                <w:sz w:val="20"/>
              </w:rPr>
            </w:pPr>
            <w:r>
              <w:rPr>
                <w:spacing w:val="-4"/>
                <w:sz w:val="20"/>
              </w:rPr>
              <w:t>39.7</w:t>
            </w:r>
          </w:p>
        </w:tc>
        <w:tc>
          <w:tcPr>
            <w:tcW w:w="1229" w:type="dxa"/>
          </w:tcPr>
          <w:p>
            <w:pPr>
              <w:pStyle w:val="TableParagraph"/>
              <w:ind w:left="121"/>
              <w:rPr>
                <w:sz w:val="20"/>
              </w:rPr>
            </w:pPr>
            <w:r>
              <w:rPr>
                <w:spacing w:val="-4"/>
                <w:sz w:val="20"/>
              </w:rPr>
              <w:t>41.2</w:t>
            </w:r>
          </w:p>
        </w:tc>
        <w:tc>
          <w:tcPr>
            <w:tcW w:w="1229" w:type="dxa"/>
          </w:tcPr>
          <w:p>
            <w:pPr>
              <w:pStyle w:val="TableParagraph"/>
              <w:ind w:left="121"/>
              <w:rPr>
                <w:sz w:val="20"/>
              </w:rPr>
            </w:pPr>
            <w:r>
              <w:rPr>
                <w:spacing w:val="-4"/>
                <w:sz w:val="20"/>
              </w:rPr>
              <w:t>39.8</w:t>
            </w:r>
          </w:p>
        </w:tc>
        <w:tc>
          <w:tcPr>
            <w:tcW w:w="1229" w:type="dxa"/>
          </w:tcPr>
          <w:p>
            <w:pPr>
              <w:pStyle w:val="TableParagraph"/>
              <w:ind w:left="121"/>
              <w:rPr>
                <w:sz w:val="20"/>
              </w:rPr>
            </w:pPr>
            <w:r>
              <w:rPr>
                <w:spacing w:val="-4"/>
                <w:sz w:val="20"/>
              </w:rPr>
              <w:t>38.2</w:t>
            </w:r>
          </w:p>
        </w:tc>
        <w:tc>
          <w:tcPr>
            <w:tcW w:w="940" w:type="dxa"/>
          </w:tcPr>
          <w:p>
            <w:pPr>
              <w:pStyle w:val="TableParagraph"/>
              <w:ind w:left="122"/>
              <w:rPr>
                <w:sz w:val="20"/>
              </w:rPr>
            </w:pPr>
            <w:r>
              <w:rPr>
                <w:sz w:val="20"/>
              </w:rPr>
              <w:t>-</w:t>
            </w:r>
            <w:r>
              <w:rPr>
                <w:spacing w:val="-5"/>
                <w:sz w:val="20"/>
              </w:rPr>
              <w:t>0.3</w:t>
            </w:r>
          </w:p>
        </w:tc>
      </w:tr>
      <w:tr>
        <w:trPr>
          <w:trHeight w:val="350" w:hRule="atLeast"/>
        </w:trPr>
        <w:tc>
          <w:tcPr>
            <w:tcW w:w="3104" w:type="dxa"/>
          </w:tcPr>
          <w:p>
            <w:pPr>
              <w:pStyle w:val="TableParagraph"/>
              <w:rPr>
                <w:sz w:val="20"/>
              </w:rPr>
            </w:pPr>
            <w:r>
              <w:rPr>
                <w:sz w:val="20"/>
              </w:rPr>
              <w:t>Cash Conversion Cycle </w:t>
            </w:r>
            <w:r>
              <w:rPr>
                <w:spacing w:val="-2"/>
                <w:sz w:val="20"/>
              </w:rPr>
              <w:t>(Days)</w:t>
            </w:r>
          </w:p>
        </w:tc>
        <w:tc>
          <w:tcPr>
            <w:tcW w:w="1229" w:type="dxa"/>
          </w:tcPr>
          <w:p>
            <w:pPr>
              <w:pStyle w:val="TableParagraph"/>
              <w:rPr>
                <w:sz w:val="20"/>
              </w:rPr>
            </w:pPr>
            <w:r>
              <w:rPr>
                <w:spacing w:val="-4"/>
                <w:sz w:val="20"/>
              </w:rPr>
              <w:t>27.5</w:t>
            </w:r>
          </w:p>
        </w:tc>
        <w:tc>
          <w:tcPr>
            <w:tcW w:w="1229" w:type="dxa"/>
          </w:tcPr>
          <w:p>
            <w:pPr>
              <w:pStyle w:val="TableParagraph"/>
              <w:rPr>
                <w:sz w:val="20"/>
              </w:rPr>
            </w:pPr>
            <w:r>
              <w:rPr>
                <w:spacing w:val="-4"/>
                <w:sz w:val="20"/>
              </w:rPr>
              <w:t>22.1</w:t>
            </w:r>
          </w:p>
        </w:tc>
        <w:tc>
          <w:tcPr>
            <w:tcW w:w="1229" w:type="dxa"/>
          </w:tcPr>
          <w:p>
            <w:pPr>
              <w:pStyle w:val="TableParagraph"/>
              <w:ind w:left="121"/>
              <w:rPr>
                <w:sz w:val="20"/>
              </w:rPr>
            </w:pPr>
            <w:r>
              <w:rPr>
                <w:spacing w:val="-4"/>
                <w:sz w:val="20"/>
              </w:rPr>
              <w:t>15.9</w:t>
            </w:r>
          </w:p>
        </w:tc>
        <w:tc>
          <w:tcPr>
            <w:tcW w:w="1229" w:type="dxa"/>
          </w:tcPr>
          <w:p>
            <w:pPr>
              <w:pStyle w:val="TableParagraph"/>
              <w:ind w:left="121"/>
              <w:rPr>
                <w:sz w:val="20"/>
              </w:rPr>
            </w:pPr>
            <w:r>
              <w:rPr>
                <w:spacing w:val="-4"/>
                <w:sz w:val="20"/>
              </w:rPr>
              <w:t>14.2</w:t>
            </w:r>
          </w:p>
        </w:tc>
        <w:tc>
          <w:tcPr>
            <w:tcW w:w="1229" w:type="dxa"/>
          </w:tcPr>
          <w:p>
            <w:pPr>
              <w:pStyle w:val="TableParagraph"/>
              <w:ind w:left="121"/>
              <w:rPr>
                <w:sz w:val="20"/>
              </w:rPr>
            </w:pPr>
            <w:r>
              <w:rPr>
                <w:spacing w:val="-4"/>
                <w:sz w:val="20"/>
              </w:rPr>
              <w:t>12.7</w:t>
            </w:r>
          </w:p>
        </w:tc>
        <w:tc>
          <w:tcPr>
            <w:tcW w:w="940" w:type="dxa"/>
          </w:tcPr>
          <w:p>
            <w:pPr>
              <w:pStyle w:val="TableParagraph"/>
              <w:ind w:left="122"/>
              <w:rPr>
                <w:sz w:val="20"/>
              </w:rPr>
            </w:pPr>
            <w:r>
              <w:rPr>
                <w:sz w:val="20"/>
              </w:rPr>
              <w:t>-</w:t>
            </w:r>
            <w:r>
              <w:rPr>
                <w:spacing w:val="-4"/>
                <w:sz w:val="20"/>
              </w:rPr>
              <w:t>14.8</w:t>
            </w:r>
          </w:p>
        </w:tc>
      </w:tr>
    </w:tbl>
    <w:p>
      <w:pPr>
        <w:pStyle w:val="BodyText"/>
        <w:spacing w:before="213"/>
        <w:rPr>
          <w:rFonts w:ascii="Arial"/>
          <w:b/>
        </w:rPr>
      </w:pPr>
    </w:p>
    <w:p>
      <w:pPr>
        <w:spacing w:before="1"/>
        <w:ind w:left="120" w:right="0" w:firstLine="0"/>
        <w:jc w:val="left"/>
        <w:rPr>
          <w:rFonts w:ascii="Arial"/>
          <w:i/>
          <w:sz w:val="24"/>
        </w:rPr>
      </w:pPr>
      <w:r>
        <w:rPr>
          <w:rFonts w:ascii="Arial"/>
          <w:i/>
          <w:sz w:val="24"/>
        </w:rPr>
        <w:t>Source: Calculated from RIL Segment Reporting, FY2020-21 to FY2024-</w:t>
      </w:r>
      <w:r>
        <w:rPr>
          <w:rFonts w:ascii="Arial"/>
          <w:i/>
          <w:spacing w:val="-5"/>
          <w:sz w:val="24"/>
        </w:rPr>
        <w:t>25</w:t>
      </w:r>
    </w:p>
    <w:p>
      <w:pPr>
        <w:pStyle w:val="BodyText"/>
        <w:spacing w:before="7"/>
        <w:rPr>
          <w:rFonts w:ascii="Arial"/>
          <w:i/>
        </w:rPr>
      </w:pPr>
    </w:p>
    <w:p>
      <w:pPr>
        <w:pStyle w:val="Heading4"/>
        <w:spacing w:before="1"/>
      </w:pPr>
      <w:r>
        <w:rPr/>
        <w:t>Key </w:t>
      </w:r>
      <w:r>
        <w:rPr>
          <w:spacing w:val="-2"/>
        </w:rPr>
        <w:t>Observations:</w:t>
      </w:r>
    </w:p>
    <w:p>
      <w:pPr>
        <w:pStyle w:val="BodyText"/>
        <w:spacing w:before="37"/>
        <w:rPr>
          <w:rFonts w:ascii="Arial"/>
          <w:b/>
        </w:rPr>
      </w:pPr>
    </w:p>
    <w:p>
      <w:pPr>
        <w:pStyle w:val="ListParagraph"/>
        <w:numPr>
          <w:ilvl w:val="0"/>
          <w:numId w:val="20"/>
        </w:numPr>
        <w:tabs>
          <w:tab w:pos="386" w:val="left" w:leader="none"/>
        </w:tabs>
        <w:spacing w:line="208" w:lineRule="auto" w:before="0" w:after="0"/>
        <w:ind w:left="120" w:right="1686" w:firstLine="0"/>
        <w:jc w:val="left"/>
        <w:rPr>
          <w:sz w:val="24"/>
        </w:rPr>
      </w:pPr>
      <w:r>
        <w:rPr>
          <w:rFonts w:ascii="Arial"/>
          <w:b/>
          <w:sz w:val="24"/>
        </w:rPr>
        <w:t>Working Capital Efficiency: </w:t>
      </w:r>
      <w:r>
        <w:rPr>
          <w:sz w:val="24"/>
        </w:rPr>
        <w:t>Despite revenue growth of 27.1%, working capital deployed in the O2C segment decreased by 6.5%, indicating significant efficiency improvements.</w:t>
      </w:r>
      <w:r>
        <w:rPr>
          <w:spacing w:val="-4"/>
          <w:sz w:val="24"/>
        </w:rPr>
        <w:t> </w:t>
      </w:r>
      <w:r>
        <w:rPr>
          <w:sz w:val="24"/>
        </w:rPr>
        <w:t>Working</w:t>
      </w:r>
      <w:r>
        <w:rPr>
          <w:spacing w:val="-4"/>
          <w:sz w:val="24"/>
        </w:rPr>
        <w:t> </w:t>
      </w:r>
      <w:r>
        <w:rPr>
          <w:sz w:val="24"/>
        </w:rPr>
        <w:t>capital</w:t>
      </w:r>
      <w:r>
        <w:rPr>
          <w:spacing w:val="-4"/>
          <w:sz w:val="24"/>
        </w:rPr>
        <w:t> </w:t>
      </w:r>
      <w:r>
        <w:rPr>
          <w:sz w:val="24"/>
        </w:rPr>
        <w:t>as</w:t>
      </w:r>
      <w:r>
        <w:rPr>
          <w:spacing w:val="-4"/>
          <w:sz w:val="24"/>
        </w:rPr>
        <w:t> </w:t>
      </w:r>
      <w:r>
        <w:rPr>
          <w:sz w:val="24"/>
        </w:rPr>
        <w:t>a</w:t>
      </w:r>
      <w:r>
        <w:rPr>
          <w:spacing w:val="-4"/>
          <w:sz w:val="24"/>
        </w:rPr>
        <w:t> </w:t>
      </w:r>
      <w:r>
        <w:rPr>
          <w:sz w:val="24"/>
        </w:rPr>
        <w:t>percentage</w:t>
      </w:r>
      <w:r>
        <w:rPr>
          <w:spacing w:val="-4"/>
          <w:sz w:val="24"/>
        </w:rPr>
        <w:t> </w:t>
      </w:r>
      <w:r>
        <w:rPr>
          <w:sz w:val="24"/>
        </w:rPr>
        <w:t>of</w:t>
      </w:r>
      <w:r>
        <w:rPr>
          <w:spacing w:val="-4"/>
          <w:sz w:val="24"/>
        </w:rPr>
        <w:t> </w:t>
      </w:r>
      <w:r>
        <w:rPr>
          <w:sz w:val="24"/>
        </w:rPr>
        <w:t>segment</w:t>
      </w:r>
      <w:r>
        <w:rPr>
          <w:spacing w:val="-4"/>
          <w:sz w:val="24"/>
        </w:rPr>
        <w:t> </w:t>
      </w:r>
      <w:r>
        <w:rPr>
          <w:sz w:val="24"/>
        </w:rPr>
        <w:t>revenue</w:t>
      </w:r>
      <w:r>
        <w:rPr>
          <w:spacing w:val="-4"/>
          <w:sz w:val="24"/>
        </w:rPr>
        <w:t> </w:t>
      </w:r>
      <w:r>
        <w:rPr>
          <w:sz w:val="24"/>
        </w:rPr>
        <w:t>decreased</w:t>
      </w:r>
      <w:r>
        <w:rPr>
          <w:spacing w:val="-4"/>
          <w:sz w:val="24"/>
        </w:rPr>
        <w:t> </w:t>
      </w:r>
      <w:r>
        <w:rPr>
          <w:sz w:val="24"/>
        </w:rPr>
        <w:t>from 14.8% to 10.9%.</w:t>
      </w:r>
    </w:p>
    <w:p>
      <w:pPr>
        <w:pStyle w:val="BodyText"/>
        <w:spacing w:before="43"/>
      </w:pPr>
    </w:p>
    <w:p>
      <w:pPr>
        <w:pStyle w:val="ListParagraph"/>
        <w:numPr>
          <w:ilvl w:val="0"/>
          <w:numId w:val="20"/>
        </w:numPr>
        <w:tabs>
          <w:tab w:pos="386" w:val="left" w:leader="none"/>
        </w:tabs>
        <w:spacing w:line="208" w:lineRule="auto" w:before="1" w:after="0"/>
        <w:ind w:left="120" w:right="1647" w:firstLine="0"/>
        <w:jc w:val="left"/>
        <w:rPr>
          <w:sz w:val="24"/>
        </w:rPr>
      </w:pPr>
      <w:r>
        <w:rPr>
          <w:rFonts w:ascii="Arial"/>
          <w:b/>
          <w:sz w:val="24"/>
        </w:rPr>
        <w:t>Inventory</w:t>
      </w:r>
      <w:r>
        <w:rPr>
          <w:rFonts w:ascii="Arial"/>
          <w:b/>
          <w:spacing w:val="-5"/>
          <w:sz w:val="24"/>
        </w:rPr>
        <w:t> </w:t>
      </w:r>
      <w:r>
        <w:rPr>
          <w:rFonts w:ascii="Arial"/>
          <w:b/>
          <w:sz w:val="24"/>
        </w:rPr>
        <w:t>Optimization:</w:t>
      </w:r>
      <w:r>
        <w:rPr>
          <w:rFonts w:ascii="Arial"/>
          <w:b/>
          <w:spacing w:val="-5"/>
          <w:sz w:val="24"/>
        </w:rPr>
        <w:t> </w:t>
      </w:r>
      <w:r>
        <w:rPr>
          <w:sz w:val="24"/>
        </w:rPr>
        <w:t>Inventory</w:t>
      </w:r>
      <w:r>
        <w:rPr>
          <w:spacing w:val="-5"/>
          <w:sz w:val="24"/>
        </w:rPr>
        <w:t> </w:t>
      </w:r>
      <w:r>
        <w:rPr>
          <w:sz w:val="24"/>
        </w:rPr>
        <w:t>days</w:t>
      </w:r>
      <w:r>
        <w:rPr>
          <w:spacing w:val="-5"/>
          <w:sz w:val="24"/>
        </w:rPr>
        <w:t> </w:t>
      </w:r>
      <w:r>
        <w:rPr>
          <w:sz w:val="24"/>
        </w:rPr>
        <w:t>decreased</w:t>
      </w:r>
      <w:r>
        <w:rPr>
          <w:spacing w:val="-5"/>
          <w:sz w:val="24"/>
        </w:rPr>
        <w:t> </w:t>
      </w:r>
      <w:r>
        <w:rPr>
          <w:sz w:val="24"/>
        </w:rPr>
        <w:t>substantially</w:t>
      </w:r>
      <w:r>
        <w:rPr>
          <w:spacing w:val="-5"/>
          <w:sz w:val="24"/>
        </w:rPr>
        <w:t> </w:t>
      </w:r>
      <w:r>
        <w:rPr>
          <w:sz w:val="24"/>
        </w:rPr>
        <w:t>from</w:t>
      </w:r>
      <w:r>
        <w:rPr>
          <w:spacing w:val="-5"/>
          <w:sz w:val="24"/>
        </w:rPr>
        <w:t> </w:t>
      </w:r>
      <w:r>
        <w:rPr>
          <w:sz w:val="24"/>
        </w:rPr>
        <w:t>56.3</w:t>
      </w:r>
      <w:r>
        <w:rPr>
          <w:spacing w:val="-5"/>
          <w:sz w:val="24"/>
        </w:rPr>
        <w:t> </w:t>
      </w:r>
      <w:r>
        <w:rPr>
          <w:sz w:val="24"/>
        </w:rPr>
        <w:t>to</w:t>
      </w:r>
      <w:r>
        <w:rPr>
          <w:spacing w:val="-5"/>
          <w:sz w:val="24"/>
        </w:rPr>
        <w:t> </w:t>
      </w:r>
      <w:r>
        <w:rPr>
          <w:sz w:val="24"/>
        </w:rPr>
        <w:t>43.7 days, reflecting improved refinery throughput scheduling, better demand forecasting, and optimized feedstock procurement practices.</w:t>
      </w:r>
    </w:p>
    <w:p>
      <w:pPr>
        <w:pStyle w:val="BodyText"/>
        <w:spacing w:before="43"/>
      </w:pPr>
    </w:p>
    <w:p>
      <w:pPr>
        <w:pStyle w:val="ListParagraph"/>
        <w:numPr>
          <w:ilvl w:val="0"/>
          <w:numId w:val="20"/>
        </w:numPr>
        <w:tabs>
          <w:tab w:pos="386" w:val="left" w:leader="none"/>
        </w:tabs>
        <w:spacing w:line="208" w:lineRule="auto" w:before="0" w:after="0"/>
        <w:ind w:left="120" w:right="1727" w:firstLine="0"/>
        <w:jc w:val="left"/>
        <w:rPr>
          <w:sz w:val="24"/>
        </w:rPr>
      </w:pPr>
      <w:r>
        <w:rPr>
          <w:rFonts w:ascii="Arial"/>
          <w:b/>
          <w:sz w:val="24"/>
        </w:rPr>
        <w:t>Streamlined</w:t>
      </w:r>
      <w:r>
        <w:rPr>
          <w:rFonts w:ascii="Arial"/>
          <w:b/>
          <w:spacing w:val="-4"/>
          <w:sz w:val="24"/>
        </w:rPr>
        <w:t> </w:t>
      </w:r>
      <w:r>
        <w:rPr>
          <w:rFonts w:ascii="Arial"/>
          <w:b/>
          <w:sz w:val="24"/>
        </w:rPr>
        <w:t>Cash</w:t>
      </w:r>
      <w:r>
        <w:rPr>
          <w:rFonts w:ascii="Arial"/>
          <w:b/>
          <w:spacing w:val="-4"/>
          <w:sz w:val="24"/>
        </w:rPr>
        <w:t> </w:t>
      </w:r>
      <w:r>
        <w:rPr>
          <w:rFonts w:ascii="Arial"/>
          <w:b/>
          <w:sz w:val="24"/>
        </w:rPr>
        <w:t>Conversion:</w:t>
      </w:r>
      <w:r>
        <w:rPr>
          <w:rFonts w:ascii="Arial"/>
          <w:b/>
          <w:spacing w:val="-4"/>
          <w:sz w:val="24"/>
        </w:rPr>
        <w:t> </w:t>
      </w:r>
      <w:r>
        <w:rPr>
          <w:sz w:val="24"/>
        </w:rPr>
        <w:t>The</w:t>
      </w:r>
      <w:r>
        <w:rPr>
          <w:spacing w:val="-4"/>
          <w:sz w:val="24"/>
        </w:rPr>
        <w:t> </w:t>
      </w:r>
      <w:r>
        <w:rPr>
          <w:sz w:val="24"/>
        </w:rPr>
        <w:t>cash</w:t>
      </w:r>
      <w:r>
        <w:rPr>
          <w:spacing w:val="-4"/>
          <w:sz w:val="24"/>
        </w:rPr>
        <w:t> </w:t>
      </w:r>
      <w:r>
        <w:rPr>
          <w:sz w:val="24"/>
        </w:rPr>
        <w:t>conversion</w:t>
      </w:r>
      <w:r>
        <w:rPr>
          <w:spacing w:val="-4"/>
          <w:sz w:val="24"/>
        </w:rPr>
        <w:t> </w:t>
      </w:r>
      <w:r>
        <w:rPr>
          <w:sz w:val="24"/>
        </w:rPr>
        <w:t>cycle</w:t>
      </w:r>
      <w:r>
        <w:rPr>
          <w:spacing w:val="-4"/>
          <w:sz w:val="24"/>
        </w:rPr>
        <w:t> </w:t>
      </w:r>
      <w:r>
        <w:rPr>
          <w:sz w:val="24"/>
        </w:rPr>
        <w:t>for</w:t>
      </w:r>
      <w:r>
        <w:rPr>
          <w:spacing w:val="-4"/>
          <w:sz w:val="24"/>
        </w:rPr>
        <w:t> </w:t>
      </w:r>
      <w:r>
        <w:rPr>
          <w:sz w:val="24"/>
        </w:rPr>
        <w:t>the</w:t>
      </w:r>
      <w:r>
        <w:rPr>
          <w:spacing w:val="-4"/>
          <w:sz w:val="24"/>
        </w:rPr>
        <w:t> </w:t>
      </w:r>
      <w:r>
        <w:rPr>
          <w:sz w:val="24"/>
        </w:rPr>
        <w:t>O2C</w:t>
      </w:r>
      <w:r>
        <w:rPr>
          <w:spacing w:val="-4"/>
          <w:sz w:val="24"/>
        </w:rPr>
        <w:t> </w:t>
      </w:r>
      <w:r>
        <w:rPr>
          <w:sz w:val="24"/>
        </w:rPr>
        <w:t>segment improved dramatically from 27.5 days to 12.7 days, a reduction of 14.8 days. This reflects the combined effect of inventory optimization and receivables management.</w:t>
      </w:r>
    </w:p>
    <w:p>
      <w:pPr>
        <w:pStyle w:val="BodyText"/>
        <w:spacing w:before="44"/>
      </w:pPr>
    </w:p>
    <w:p>
      <w:pPr>
        <w:pStyle w:val="ListParagraph"/>
        <w:numPr>
          <w:ilvl w:val="0"/>
          <w:numId w:val="20"/>
        </w:numPr>
        <w:tabs>
          <w:tab w:pos="386" w:val="left" w:leader="none"/>
        </w:tabs>
        <w:spacing w:line="208" w:lineRule="auto" w:before="0" w:after="0"/>
        <w:ind w:left="120" w:right="1767" w:firstLine="0"/>
        <w:jc w:val="both"/>
        <w:rPr>
          <w:sz w:val="24"/>
        </w:rPr>
      </w:pPr>
      <w:r>
        <w:rPr>
          <w:rFonts w:ascii="Arial"/>
          <w:b/>
          <w:sz w:val="24"/>
        </w:rPr>
        <w:t>Margin</w:t>
      </w:r>
      <w:r>
        <w:rPr>
          <w:rFonts w:ascii="Arial"/>
          <w:b/>
          <w:spacing w:val="-4"/>
          <w:sz w:val="24"/>
        </w:rPr>
        <w:t> </w:t>
      </w:r>
      <w:r>
        <w:rPr>
          <w:rFonts w:ascii="Arial"/>
          <w:b/>
          <w:sz w:val="24"/>
        </w:rPr>
        <w:t>Impact:</w:t>
      </w:r>
      <w:r>
        <w:rPr>
          <w:rFonts w:ascii="Arial"/>
          <w:b/>
          <w:spacing w:val="-4"/>
          <w:sz w:val="24"/>
        </w:rPr>
        <w:t> </w:t>
      </w:r>
      <w:r>
        <w:rPr>
          <w:sz w:val="24"/>
        </w:rPr>
        <w:t>The</w:t>
      </w:r>
      <w:r>
        <w:rPr>
          <w:spacing w:val="-4"/>
          <w:sz w:val="24"/>
        </w:rPr>
        <w:t> </w:t>
      </w:r>
      <w:r>
        <w:rPr>
          <w:sz w:val="24"/>
        </w:rPr>
        <w:t>working</w:t>
      </w:r>
      <w:r>
        <w:rPr>
          <w:spacing w:val="-4"/>
          <w:sz w:val="24"/>
        </w:rPr>
        <w:t> </w:t>
      </w:r>
      <w:r>
        <w:rPr>
          <w:sz w:val="24"/>
        </w:rPr>
        <w:t>capital</w:t>
      </w:r>
      <w:r>
        <w:rPr>
          <w:spacing w:val="-4"/>
          <w:sz w:val="24"/>
        </w:rPr>
        <w:t> </w:t>
      </w:r>
      <w:r>
        <w:rPr>
          <w:sz w:val="24"/>
        </w:rPr>
        <w:t>optimization</w:t>
      </w:r>
      <w:r>
        <w:rPr>
          <w:spacing w:val="-4"/>
          <w:sz w:val="24"/>
        </w:rPr>
        <w:t> </w:t>
      </w:r>
      <w:r>
        <w:rPr>
          <w:sz w:val="24"/>
        </w:rPr>
        <w:t>in</w:t>
      </w:r>
      <w:r>
        <w:rPr>
          <w:spacing w:val="-4"/>
          <w:sz w:val="24"/>
        </w:rPr>
        <w:t> </w:t>
      </w:r>
      <w:r>
        <w:rPr>
          <w:sz w:val="24"/>
        </w:rPr>
        <w:t>the</w:t>
      </w:r>
      <w:r>
        <w:rPr>
          <w:spacing w:val="-4"/>
          <w:sz w:val="24"/>
        </w:rPr>
        <w:t> </w:t>
      </w:r>
      <w:r>
        <w:rPr>
          <w:sz w:val="24"/>
        </w:rPr>
        <w:t>O2C</w:t>
      </w:r>
      <w:r>
        <w:rPr>
          <w:spacing w:val="-4"/>
          <w:sz w:val="24"/>
        </w:rPr>
        <w:t> </w:t>
      </w:r>
      <w:r>
        <w:rPr>
          <w:sz w:val="24"/>
        </w:rPr>
        <w:t>segment</w:t>
      </w:r>
      <w:r>
        <w:rPr>
          <w:spacing w:val="-4"/>
          <w:sz w:val="24"/>
        </w:rPr>
        <w:t> </w:t>
      </w:r>
      <w:r>
        <w:rPr>
          <w:sz w:val="24"/>
        </w:rPr>
        <w:t>contributed to an estimated 0.8 percentage point improvement in segment EBITDA margin over the five-year period, highlighting the financial impact of working capital efficiency.</w:t>
      </w:r>
    </w:p>
    <w:p>
      <w:pPr>
        <w:pStyle w:val="BodyText"/>
        <w:spacing w:before="57"/>
      </w:pPr>
    </w:p>
    <w:p>
      <w:pPr>
        <w:pStyle w:val="Heading3"/>
        <w:numPr>
          <w:ilvl w:val="2"/>
          <w:numId w:val="3"/>
        </w:numPr>
        <w:tabs>
          <w:tab w:pos="820" w:val="left" w:leader="none"/>
        </w:tabs>
        <w:spacing w:line="240" w:lineRule="auto" w:before="0" w:after="0"/>
        <w:ind w:left="820" w:right="0" w:hanging="700"/>
        <w:jc w:val="both"/>
      </w:pPr>
      <w:r>
        <w:rPr/>
        <w:t>Retail </w:t>
      </w:r>
      <w:r>
        <w:rPr>
          <w:spacing w:val="-2"/>
        </w:rPr>
        <w:t>Segment</w:t>
      </w:r>
    </w:p>
    <w:p>
      <w:pPr>
        <w:pStyle w:val="BodyText"/>
        <w:spacing w:before="276"/>
        <w:ind w:left="120"/>
      </w:pPr>
      <w:r>
        <w:rPr/>
        <w:t>Table 5.8 presents key working capital metrics for RIL's Retail </w:t>
      </w:r>
      <w:r>
        <w:rPr>
          <w:spacing w:val="-2"/>
        </w:rPr>
        <w:t>segment:</w:t>
      </w:r>
    </w:p>
    <w:p>
      <w:pPr>
        <w:pStyle w:val="BodyText"/>
        <w:spacing w:before="7"/>
      </w:pPr>
    </w:p>
    <w:p>
      <w:pPr>
        <w:pStyle w:val="Heading4"/>
        <w:spacing w:before="1"/>
      </w:pPr>
      <w:r>
        <w:rPr/>
        <w:t>Table 5.8: Working Capital Analysis - Retail Segment (FY2020-21 to FY2024-</w:t>
      </w:r>
      <w:r>
        <w:rPr>
          <w:spacing w:val="-5"/>
        </w:rPr>
        <w:t>25)</w:t>
      </w:r>
    </w:p>
    <w:p>
      <w:pPr>
        <w:pStyle w:val="BodyText"/>
        <w:spacing w:before="6"/>
        <w:rPr>
          <w:rFonts w:ascii="Arial"/>
          <w:b/>
          <w:sz w:val="12"/>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4"/>
        <w:gridCol w:w="1229"/>
        <w:gridCol w:w="1229"/>
        <w:gridCol w:w="1229"/>
        <w:gridCol w:w="1229"/>
        <w:gridCol w:w="1229"/>
        <w:gridCol w:w="1035"/>
      </w:tblGrid>
      <w:tr>
        <w:trPr>
          <w:trHeight w:val="350" w:hRule="atLeast"/>
        </w:trPr>
        <w:tc>
          <w:tcPr>
            <w:tcW w:w="3104" w:type="dxa"/>
            <w:shd w:val="clear" w:color="auto" w:fill="D3D3D3"/>
          </w:tcPr>
          <w:p>
            <w:pPr>
              <w:pStyle w:val="TableParagraph"/>
              <w:ind w:left="58" w:right="48"/>
              <w:jc w:val="center"/>
              <w:rPr>
                <w:sz w:val="20"/>
              </w:rPr>
            </w:pPr>
            <w:r>
              <w:rPr>
                <w:spacing w:val="-2"/>
                <w:sz w:val="20"/>
              </w:rPr>
              <w:t>Metric</w:t>
            </w:r>
          </w:p>
        </w:tc>
        <w:tc>
          <w:tcPr>
            <w:tcW w:w="1229" w:type="dxa"/>
            <w:shd w:val="clear" w:color="auto" w:fill="D3D3D3"/>
          </w:tcPr>
          <w:p>
            <w:pPr>
              <w:pStyle w:val="TableParagraph"/>
              <w:rPr>
                <w:sz w:val="20"/>
              </w:rPr>
            </w:pPr>
            <w:r>
              <w:rPr>
                <w:sz w:val="20"/>
              </w:rPr>
              <w:t>FY2020-</w:t>
            </w:r>
            <w:r>
              <w:rPr>
                <w:spacing w:val="-5"/>
                <w:sz w:val="20"/>
              </w:rPr>
              <w:t>21</w:t>
            </w:r>
          </w:p>
        </w:tc>
        <w:tc>
          <w:tcPr>
            <w:tcW w:w="1229" w:type="dxa"/>
            <w:shd w:val="clear" w:color="auto" w:fill="D3D3D3"/>
          </w:tcPr>
          <w:p>
            <w:pPr>
              <w:pStyle w:val="TableParagraph"/>
              <w:rPr>
                <w:sz w:val="20"/>
              </w:rPr>
            </w:pPr>
            <w:r>
              <w:rPr>
                <w:sz w:val="20"/>
              </w:rPr>
              <w:t>FY2021-</w:t>
            </w:r>
            <w:r>
              <w:rPr>
                <w:spacing w:val="-5"/>
                <w:sz w:val="20"/>
              </w:rPr>
              <w:t>22</w:t>
            </w:r>
          </w:p>
        </w:tc>
        <w:tc>
          <w:tcPr>
            <w:tcW w:w="1229" w:type="dxa"/>
            <w:shd w:val="clear" w:color="auto" w:fill="D3D3D3"/>
          </w:tcPr>
          <w:p>
            <w:pPr>
              <w:pStyle w:val="TableParagraph"/>
              <w:ind w:left="121"/>
              <w:rPr>
                <w:sz w:val="20"/>
              </w:rPr>
            </w:pPr>
            <w:r>
              <w:rPr>
                <w:sz w:val="20"/>
              </w:rPr>
              <w:t>FY2022-</w:t>
            </w:r>
            <w:r>
              <w:rPr>
                <w:spacing w:val="-5"/>
                <w:sz w:val="20"/>
              </w:rPr>
              <w:t>23</w:t>
            </w:r>
          </w:p>
        </w:tc>
        <w:tc>
          <w:tcPr>
            <w:tcW w:w="1229" w:type="dxa"/>
            <w:shd w:val="clear" w:color="auto" w:fill="D3D3D3"/>
          </w:tcPr>
          <w:p>
            <w:pPr>
              <w:pStyle w:val="TableParagraph"/>
              <w:ind w:left="121"/>
              <w:rPr>
                <w:sz w:val="20"/>
              </w:rPr>
            </w:pPr>
            <w:r>
              <w:rPr>
                <w:sz w:val="20"/>
              </w:rPr>
              <w:t>FY2023-</w:t>
            </w:r>
            <w:r>
              <w:rPr>
                <w:spacing w:val="-5"/>
                <w:sz w:val="20"/>
              </w:rPr>
              <w:t>24</w:t>
            </w:r>
          </w:p>
        </w:tc>
        <w:tc>
          <w:tcPr>
            <w:tcW w:w="1229" w:type="dxa"/>
            <w:shd w:val="clear" w:color="auto" w:fill="D3D3D3"/>
          </w:tcPr>
          <w:p>
            <w:pPr>
              <w:pStyle w:val="TableParagraph"/>
              <w:ind w:left="121"/>
              <w:rPr>
                <w:sz w:val="20"/>
              </w:rPr>
            </w:pPr>
            <w:r>
              <w:rPr>
                <w:sz w:val="20"/>
              </w:rPr>
              <w:t>FY2024-</w:t>
            </w:r>
            <w:r>
              <w:rPr>
                <w:spacing w:val="-5"/>
                <w:sz w:val="20"/>
              </w:rPr>
              <w:t>25</w:t>
            </w:r>
          </w:p>
        </w:tc>
        <w:tc>
          <w:tcPr>
            <w:tcW w:w="1035" w:type="dxa"/>
            <w:shd w:val="clear" w:color="auto" w:fill="D3D3D3"/>
          </w:tcPr>
          <w:p>
            <w:pPr>
              <w:pStyle w:val="TableParagraph"/>
              <w:ind w:left="169"/>
              <w:rPr>
                <w:sz w:val="20"/>
              </w:rPr>
            </w:pPr>
            <w:r>
              <w:rPr>
                <w:spacing w:val="-2"/>
                <w:sz w:val="20"/>
              </w:rPr>
              <w:t>Change</w:t>
            </w:r>
          </w:p>
        </w:tc>
      </w:tr>
      <w:tr>
        <w:trPr>
          <w:trHeight w:val="350" w:hRule="atLeast"/>
        </w:trPr>
        <w:tc>
          <w:tcPr>
            <w:tcW w:w="3104" w:type="dxa"/>
          </w:tcPr>
          <w:p>
            <w:pPr>
              <w:pStyle w:val="TableParagraph"/>
              <w:spacing w:before="55"/>
              <w:ind w:left="58"/>
              <w:jc w:val="center"/>
              <w:rPr>
                <w:sz w:val="20"/>
              </w:rPr>
            </w:pPr>
            <w:r>
              <w:rPr>
                <w:sz w:val="20"/>
              </w:rPr>
              <w:t>Segment Revenue (</w:t>
            </w:r>
            <w:r>
              <w:rPr>
                <w:rFonts w:ascii="MS Gothic" w:hAnsi="MS Gothic"/>
                <w:sz w:val="20"/>
              </w:rPr>
              <w:t>■</w:t>
            </w:r>
            <w:r>
              <w:rPr>
                <w:rFonts w:ascii="Times New Roman" w:hAnsi="Times New Roman"/>
                <w:spacing w:val="5"/>
                <w:sz w:val="20"/>
              </w:rPr>
              <w:t> </w:t>
            </w:r>
            <w:r>
              <w:rPr>
                <w:sz w:val="20"/>
              </w:rPr>
              <w:t>in </w:t>
            </w:r>
            <w:r>
              <w:rPr>
                <w:spacing w:val="-2"/>
                <w:sz w:val="20"/>
              </w:rPr>
              <w:t>Crores)</w:t>
            </w:r>
          </w:p>
        </w:tc>
        <w:tc>
          <w:tcPr>
            <w:tcW w:w="1229" w:type="dxa"/>
          </w:tcPr>
          <w:p>
            <w:pPr>
              <w:pStyle w:val="TableParagraph"/>
              <w:rPr>
                <w:sz w:val="20"/>
              </w:rPr>
            </w:pPr>
            <w:r>
              <w:rPr>
                <w:spacing w:val="-2"/>
                <w:sz w:val="20"/>
              </w:rPr>
              <w:t>144,693</w:t>
            </w:r>
          </w:p>
        </w:tc>
        <w:tc>
          <w:tcPr>
            <w:tcW w:w="1229" w:type="dxa"/>
          </w:tcPr>
          <w:p>
            <w:pPr>
              <w:pStyle w:val="TableParagraph"/>
              <w:rPr>
                <w:sz w:val="20"/>
              </w:rPr>
            </w:pPr>
            <w:r>
              <w:rPr>
                <w:spacing w:val="-2"/>
                <w:sz w:val="20"/>
              </w:rPr>
              <w:t>175,160</w:t>
            </w:r>
          </w:p>
        </w:tc>
        <w:tc>
          <w:tcPr>
            <w:tcW w:w="1229" w:type="dxa"/>
          </w:tcPr>
          <w:p>
            <w:pPr>
              <w:pStyle w:val="TableParagraph"/>
              <w:ind w:left="121"/>
              <w:rPr>
                <w:sz w:val="20"/>
              </w:rPr>
            </w:pPr>
            <w:r>
              <w:rPr>
                <w:spacing w:val="-2"/>
                <w:sz w:val="20"/>
              </w:rPr>
              <w:t>209,087</w:t>
            </w:r>
          </w:p>
        </w:tc>
        <w:tc>
          <w:tcPr>
            <w:tcW w:w="1229" w:type="dxa"/>
          </w:tcPr>
          <w:p>
            <w:pPr>
              <w:pStyle w:val="TableParagraph"/>
              <w:ind w:left="121"/>
              <w:rPr>
                <w:sz w:val="20"/>
              </w:rPr>
            </w:pPr>
            <w:r>
              <w:rPr>
                <w:spacing w:val="-2"/>
                <w:sz w:val="20"/>
              </w:rPr>
              <w:t>248,352</w:t>
            </w:r>
          </w:p>
        </w:tc>
        <w:tc>
          <w:tcPr>
            <w:tcW w:w="1229" w:type="dxa"/>
          </w:tcPr>
          <w:p>
            <w:pPr>
              <w:pStyle w:val="TableParagraph"/>
              <w:ind w:left="121"/>
              <w:rPr>
                <w:sz w:val="20"/>
              </w:rPr>
            </w:pPr>
            <w:r>
              <w:rPr>
                <w:spacing w:val="-2"/>
                <w:sz w:val="20"/>
              </w:rPr>
              <w:t>283,650</w:t>
            </w:r>
          </w:p>
        </w:tc>
        <w:tc>
          <w:tcPr>
            <w:tcW w:w="1035" w:type="dxa"/>
          </w:tcPr>
          <w:p>
            <w:pPr>
              <w:pStyle w:val="TableParagraph"/>
              <w:ind w:left="122"/>
              <w:rPr>
                <w:sz w:val="20"/>
              </w:rPr>
            </w:pPr>
            <w:r>
              <w:rPr>
                <w:spacing w:val="-2"/>
                <w:sz w:val="20"/>
              </w:rPr>
              <w:t>+96.0%</w:t>
            </w:r>
          </w:p>
        </w:tc>
      </w:tr>
    </w:tbl>
    <w:p>
      <w:pPr>
        <w:pStyle w:val="TableParagraph"/>
        <w:spacing w:after="0"/>
        <w:rPr>
          <w:sz w:val="20"/>
        </w:rPr>
        <w:sectPr>
          <w:pgSz w:w="12240" w:h="15840"/>
          <w:pgMar w:top="1740" w:bottom="1619" w:left="1440" w:right="0"/>
        </w:sect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4"/>
        <w:gridCol w:w="1229"/>
        <w:gridCol w:w="1229"/>
        <w:gridCol w:w="1229"/>
        <w:gridCol w:w="1229"/>
        <w:gridCol w:w="1229"/>
        <w:gridCol w:w="1035"/>
      </w:tblGrid>
      <w:tr>
        <w:trPr>
          <w:trHeight w:val="350" w:hRule="atLeast"/>
        </w:trPr>
        <w:tc>
          <w:tcPr>
            <w:tcW w:w="3104" w:type="dxa"/>
          </w:tcPr>
          <w:p>
            <w:pPr>
              <w:pStyle w:val="TableParagraph"/>
              <w:spacing w:before="55"/>
              <w:rPr>
                <w:sz w:val="20"/>
              </w:rPr>
            </w:pPr>
            <w:r>
              <w:rPr>
                <w:sz w:val="20"/>
              </w:rPr>
              <w:t>Working Capital (</w:t>
            </w:r>
            <w:r>
              <w:rPr>
                <w:rFonts w:ascii="MS Gothic" w:hAnsi="MS Gothic"/>
                <w:sz w:val="20"/>
              </w:rPr>
              <w:t>■</w:t>
            </w:r>
            <w:r>
              <w:rPr>
                <w:rFonts w:ascii="Times New Roman" w:hAnsi="Times New Roman"/>
                <w:spacing w:val="5"/>
                <w:sz w:val="20"/>
              </w:rPr>
              <w:t> </w:t>
            </w:r>
            <w:r>
              <w:rPr>
                <w:sz w:val="20"/>
              </w:rPr>
              <w:t>in </w:t>
            </w:r>
            <w:r>
              <w:rPr>
                <w:spacing w:val="-2"/>
                <w:sz w:val="20"/>
              </w:rPr>
              <w:t>Crores)</w:t>
            </w:r>
          </w:p>
        </w:tc>
        <w:tc>
          <w:tcPr>
            <w:tcW w:w="1229" w:type="dxa"/>
          </w:tcPr>
          <w:p>
            <w:pPr>
              <w:pStyle w:val="TableParagraph"/>
              <w:rPr>
                <w:sz w:val="20"/>
              </w:rPr>
            </w:pPr>
            <w:r>
              <w:rPr>
                <w:spacing w:val="-2"/>
                <w:sz w:val="20"/>
              </w:rPr>
              <w:t>19,854</w:t>
            </w:r>
          </w:p>
        </w:tc>
        <w:tc>
          <w:tcPr>
            <w:tcW w:w="1229" w:type="dxa"/>
          </w:tcPr>
          <w:p>
            <w:pPr>
              <w:pStyle w:val="TableParagraph"/>
              <w:rPr>
                <w:sz w:val="20"/>
              </w:rPr>
            </w:pPr>
            <w:r>
              <w:rPr>
                <w:spacing w:val="-2"/>
                <w:sz w:val="20"/>
              </w:rPr>
              <w:t>24,395</w:t>
            </w:r>
          </w:p>
        </w:tc>
        <w:tc>
          <w:tcPr>
            <w:tcW w:w="1229" w:type="dxa"/>
          </w:tcPr>
          <w:p>
            <w:pPr>
              <w:pStyle w:val="TableParagraph"/>
              <w:ind w:left="121"/>
              <w:rPr>
                <w:sz w:val="20"/>
              </w:rPr>
            </w:pPr>
            <w:r>
              <w:rPr>
                <w:spacing w:val="-2"/>
                <w:sz w:val="20"/>
              </w:rPr>
              <w:t>29,272</w:t>
            </w:r>
          </w:p>
        </w:tc>
        <w:tc>
          <w:tcPr>
            <w:tcW w:w="1229" w:type="dxa"/>
          </w:tcPr>
          <w:p>
            <w:pPr>
              <w:pStyle w:val="TableParagraph"/>
              <w:ind w:left="121"/>
              <w:rPr>
                <w:sz w:val="20"/>
              </w:rPr>
            </w:pPr>
            <w:r>
              <w:rPr>
                <w:spacing w:val="-2"/>
                <w:sz w:val="20"/>
              </w:rPr>
              <w:t>34,769</w:t>
            </w:r>
          </w:p>
        </w:tc>
        <w:tc>
          <w:tcPr>
            <w:tcW w:w="1229" w:type="dxa"/>
          </w:tcPr>
          <w:p>
            <w:pPr>
              <w:pStyle w:val="TableParagraph"/>
              <w:ind w:left="121"/>
              <w:rPr>
                <w:sz w:val="20"/>
              </w:rPr>
            </w:pPr>
            <w:r>
              <w:rPr>
                <w:spacing w:val="-2"/>
                <w:sz w:val="20"/>
              </w:rPr>
              <w:t>40,452</w:t>
            </w:r>
          </w:p>
        </w:tc>
        <w:tc>
          <w:tcPr>
            <w:tcW w:w="1035" w:type="dxa"/>
          </w:tcPr>
          <w:p>
            <w:pPr>
              <w:pStyle w:val="TableParagraph"/>
              <w:ind w:left="122"/>
              <w:rPr>
                <w:sz w:val="20"/>
              </w:rPr>
            </w:pPr>
            <w:r>
              <w:rPr>
                <w:spacing w:val="-2"/>
                <w:sz w:val="20"/>
              </w:rPr>
              <w:t>+103.7%</w:t>
            </w:r>
          </w:p>
        </w:tc>
      </w:tr>
      <w:tr>
        <w:trPr>
          <w:trHeight w:val="350" w:hRule="atLeast"/>
        </w:trPr>
        <w:tc>
          <w:tcPr>
            <w:tcW w:w="3104" w:type="dxa"/>
          </w:tcPr>
          <w:p>
            <w:pPr>
              <w:pStyle w:val="TableParagraph"/>
              <w:rPr>
                <w:sz w:val="20"/>
              </w:rPr>
            </w:pPr>
            <w:r>
              <w:rPr>
                <w:sz w:val="20"/>
              </w:rPr>
              <w:t>WC as % of Segment </w:t>
            </w:r>
            <w:r>
              <w:rPr>
                <w:spacing w:val="-2"/>
                <w:sz w:val="20"/>
              </w:rPr>
              <w:t>Revenue</w:t>
            </w:r>
          </w:p>
        </w:tc>
        <w:tc>
          <w:tcPr>
            <w:tcW w:w="1229" w:type="dxa"/>
          </w:tcPr>
          <w:p>
            <w:pPr>
              <w:pStyle w:val="TableParagraph"/>
              <w:rPr>
                <w:sz w:val="20"/>
              </w:rPr>
            </w:pPr>
            <w:r>
              <w:rPr>
                <w:spacing w:val="-2"/>
                <w:sz w:val="20"/>
              </w:rPr>
              <w:t>13.7%</w:t>
            </w:r>
          </w:p>
        </w:tc>
        <w:tc>
          <w:tcPr>
            <w:tcW w:w="1229" w:type="dxa"/>
          </w:tcPr>
          <w:p>
            <w:pPr>
              <w:pStyle w:val="TableParagraph"/>
              <w:rPr>
                <w:sz w:val="20"/>
              </w:rPr>
            </w:pPr>
            <w:r>
              <w:rPr>
                <w:spacing w:val="-2"/>
                <w:sz w:val="20"/>
              </w:rPr>
              <w:t>13.9%</w:t>
            </w:r>
          </w:p>
        </w:tc>
        <w:tc>
          <w:tcPr>
            <w:tcW w:w="1229" w:type="dxa"/>
          </w:tcPr>
          <w:p>
            <w:pPr>
              <w:pStyle w:val="TableParagraph"/>
              <w:ind w:left="121"/>
              <w:rPr>
                <w:sz w:val="20"/>
              </w:rPr>
            </w:pPr>
            <w:r>
              <w:rPr>
                <w:spacing w:val="-2"/>
                <w:sz w:val="20"/>
              </w:rPr>
              <w:t>14.0%</w:t>
            </w:r>
          </w:p>
        </w:tc>
        <w:tc>
          <w:tcPr>
            <w:tcW w:w="1229" w:type="dxa"/>
          </w:tcPr>
          <w:p>
            <w:pPr>
              <w:pStyle w:val="TableParagraph"/>
              <w:ind w:left="121"/>
              <w:rPr>
                <w:sz w:val="20"/>
              </w:rPr>
            </w:pPr>
            <w:r>
              <w:rPr>
                <w:spacing w:val="-2"/>
                <w:sz w:val="20"/>
              </w:rPr>
              <w:t>14.0%</w:t>
            </w:r>
          </w:p>
        </w:tc>
        <w:tc>
          <w:tcPr>
            <w:tcW w:w="1229" w:type="dxa"/>
          </w:tcPr>
          <w:p>
            <w:pPr>
              <w:pStyle w:val="TableParagraph"/>
              <w:ind w:left="121"/>
              <w:rPr>
                <w:sz w:val="20"/>
              </w:rPr>
            </w:pPr>
            <w:r>
              <w:rPr>
                <w:spacing w:val="-2"/>
                <w:sz w:val="20"/>
              </w:rPr>
              <w:t>14.3%</w:t>
            </w:r>
          </w:p>
        </w:tc>
        <w:tc>
          <w:tcPr>
            <w:tcW w:w="1035" w:type="dxa"/>
          </w:tcPr>
          <w:p>
            <w:pPr>
              <w:pStyle w:val="TableParagraph"/>
              <w:ind w:left="122"/>
              <w:rPr>
                <w:sz w:val="20"/>
              </w:rPr>
            </w:pPr>
            <w:r>
              <w:rPr>
                <w:spacing w:val="-2"/>
                <w:sz w:val="20"/>
              </w:rPr>
              <w:t>+0.6%</w:t>
            </w:r>
          </w:p>
        </w:tc>
      </w:tr>
      <w:tr>
        <w:trPr>
          <w:trHeight w:val="350" w:hRule="atLeast"/>
        </w:trPr>
        <w:tc>
          <w:tcPr>
            <w:tcW w:w="3104" w:type="dxa"/>
          </w:tcPr>
          <w:p>
            <w:pPr>
              <w:pStyle w:val="TableParagraph"/>
              <w:rPr>
                <w:sz w:val="20"/>
              </w:rPr>
            </w:pPr>
            <w:r>
              <w:rPr>
                <w:sz w:val="20"/>
              </w:rPr>
              <w:t>Inventory </w:t>
            </w:r>
            <w:r>
              <w:rPr>
                <w:spacing w:val="-4"/>
                <w:sz w:val="20"/>
              </w:rPr>
              <w:t>Days</w:t>
            </w:r>
          </w:p>
        </w:tc>
        <w:tc>
          <w:tcPr>
            <w:tcW w:w="1229" w:type="dxa"/>
          </w:tcPr>
          <w:p>
            <w:pPr>
              <w:pStyle w:val="TableParagraph"/>
              <w:rPr>
                <w:sz w:val="20"/>
              </w:rPr>
            </w:pPr>
            <w:r>
              <w:rPr>
                <w:spacing w:val="-4"/>
                <w:sz w:val="20"/>
              </w:rPr>
              <w:t>68.5</w:t>
            </w:r>
          </w:p>
        </w:tc>
        <w:tc>
          <w:tcPr>
            <w:tcW w:w="1229" w:type="dxa"/>
          </w:tcPr>
          <w:p>
            <w:pPr>
              <w:pStyle w:val="TableParagraph"/>
              <w:rPr>
                <w:sz w:val="20"/>
              </w:rPr>
            </w:pPr>
            <w:r>
              <w:rPr>
                <w:spacing w:val="-4"/>
                <w:sz w:val="20"/>
              </w:rPr>
              <w:t>69.7</w:t>
            </w:r>
          </w:p>
        </w:tc>
        <w:tc>
          <w:tcPr>
            <w:tcW w:w="1229" w:type="dxa"/>
          </w:tcPr>
          <w:p>
            <w:pPr>
              <w:pStyle w:val="TableParagraph"/>
              <w:ind w:left="121"/>
              <w:rPr>
                <w:sz w:val="20"/>
              </w:rPr>
            </w:pPr>
            <w:r>
              <w:rPr>
                <w:spacing w:val="-4"/>
                <w:sz w:val="20"/>
              </w:rPr>
              <w:t>70.2</w:t>
            </w:r>
          </w:p>
        </w:tc>
        <w:tc>
          <w:tcPr>
            <w:tcW w:w="1229" w:type="dxa"/>
          </w:tcPr>
          <w:p>
            <w:pPr>
              <w:pStyle w:val="TableParagraph"/>
              <w:ind w:left="121"/>
              <w:rPr>
                <w:sz w:val="20"/>
              </w:rPr>
            </w:pPr>
            <w:r>
              <w:rPr>
                <w:spacing w:val="-4"/>
                <w:sz w:val="20"/>
              </w:rPr>
              <w:t>70.1</w:t>
            </w:r>
          </w:p>
        </w:tc>
        <w:tc>
          <w:tcPr>
            <w:tcW w:w="1229" w:type="dxa"/>
          </w:tcPr>
          <w:p>
            <w:pPr>
              <w:pStyle w:val="TableParagraph"/>
              <w:ind w:left="121"/>
              <w:rPr>
                <w:sz w:val="20"/>
              </w:rPr>
            </w:pPr>
            <w:r>
              <w:rPr>
                <w:spacing w:val="-4"/>
                <w:sz w:val="20"/>
              </w:rPr>
              <w:t>69.8</w:t>
            </w:r>
          </w:p>
        </w:tc>
        <w:tc>
          <w:tcPr>
            <w:tcW w:w="1035" w:type="dxa"/>
          </w:tcPr>
          <w:p>
            <w:pPr>
              <w:pStyle w:val="TableParagraph"/>
              <w:ind w:left="122"/>
              <w:rPr>
                <w:sz w:val="20"/>
              </w:rPr>
            </w:pPr>
            <w:r>
              <w:rPr>
                <w:spacing w:val="-4"/>
                <w:sz w:val="20"/>
              </w:rPr>
              <w:t>+1.3</w:t>
            </w:r>
          </w:p>
        </w:tc>
      </w:tr>
      <w:tr>
        <w:trPr>
          <w:trHeight w:val="350" w:hRule="atLeast"/>
        </w:trPr>
        <w:tc>
          <w:tcPr>
            <w:tcW w:w="3104" w:type="dxa"/>
          </w:tcPr>
          <w:p>
            <w:pPr>
              <w:pStyle w:val="TableParagraph"/>
              <w:rPr>
                <w:sz w:val="20"/>
              </w:rPr>
            </w:pPr>
            <w:r>
              <w:rPr>
                <w:sz w:val="20"/>
              </w:rPr>
              <w:t>Receivables </w:t>
            </w:r>
            <w:r>
              <w:rPr>
                <w:spacing w:val="-4"/>
                <w:sz w:val="20"/>
              </w:rPr>
              <w:t>Days</w:t>
            </w:r>
          </w:p>
        </w:tc>
        <w:tc>
          <w:tcPr>
            <w:tcW w:w="1229" w:type="dxa"/>
          </w:tcPr>
          <w:p>
            <w:pPr>
              <w:pStyle w:val="TableParagraph"/>
              <w:rPr>
                <w:sz w:val="20"/>
              </w:rPr>
            </w:pPr>
            <w:r>
              <w:rPr>
                <w:spacing w:val="-5"/>
                <w:sz w:val="20"/>
              </w:rPr>
              <w:t>3.9</w:t>
            </w:r>
          </w:p>
        </w:tc>
        <w:tc>
          <w:tcPr>
            <w:tcW w:w="1229" w:type="dxa"/>
          </w:tcPr>
          <w:p>
            <w:pPr>
              <w:pStyle w:val="TableParagraph"/>
              <w:rPr>
                <w:sz w:val="20"/>
              </w:rPr>
            </w:pPr>
            <w:r>
              <w:rPr>
                <w:spacing w:val="-5"/>
                <w:sz w:val="20"/>
              </w:rPr>
              <w:t>3.8</w:t>
            </w:r>
          </w:p>
        </w:tc>
        <w:tc>
          <w:tcPr>
            <w:tcW w:w="1229" w:type="dxa"/>
          </w:tcPr>
          <w:p>
            <w:pPr>
              <w:pStyle w:val="TableParagraph"/>
              <w:ind w:left="121"/>
              <w:rPr>
                <w:sz w:val="20"/>
              </w:rPr>
            </w:pPr>
            <w:r>
              <w:rPr>
                <w:spacing w:val="-5"/>
                <w:sz w:val="20"/>
              </w:rPr>
              <w:t>3.7</w:t>
            </w:r>
          </w:p>
        </w:tc>
        <w:tc>
          <w:tcPr>
            <w:tcW w:w="1229" w:type="dxa"/>
          </w:tcPr>
          <w:p>
            <w:pPr>
              <w:pStyle w:val="TableParagraph"/>
              <w:ind w:left="121"/>
              <w:rPr>
                <w:sz w:val="20"/>
              </w:rPr>
            </w:pPr>
            <w:r>
              <w:rPr>
                <w:spacing w:val="-5"/>
                <w:sz w:val="20"/>
              </w:rPr>
              <w:t>3.5</w:t>
            </w:r>
          </w:p>
        </w:tc>
        <w:tc>
          <w:tcPr>
            <w:tcW w:w="1229" w:type="dxa"/>
          </w:tcPr>
          <w:p>
            <w:pPr>
              <w:pStyle w:val="TableParagraph"/>
              <w:ind w:left="121"/>
              <w:rPr>
                <w:sz w:val="20"/>
              </w:rPr>
            </w:pPr>
            <w:r>
              <w:rPr>
                <w:spacing w:val="-5"/>
                <w:sz w:val="20"/>
              </w:rPr>
              <w:t>3.2</w:t>
            </w:r>
          </w:p>
        </w:tc>
        <w:tc>
          <w:tcPr>
            <w:tcW w:w="1035" w:type="dxa"/>
          </w:tcPr>
          <w:p>
            <w:pPr>
              <w:pStyle w:val="TableParagraph"/>
              <w:ind w:left="122"/>
              <w:rPr>
                <w:sz w:val="20"/>
              </w:rPr>
            </w:pPr>
            <w:r>
              <w:rPr>
                <w:sz w:val="20"/>
              </w:rPr>
              <w:t>-</w:t>
            </w:r>
            <w:r>
              <w:rPr>
                <w:spacing w:val="-5"/>
                <w:sz w:val="20"/>
              </w:rPr>
              <w:t>0.7</w:t>
            </w:r>
          </w:p>
        </w:tc>
      </w:tr>
      <w:tr>
        <w:trPr>
          <w:trHeight w:val="350" w:hRule="atLeast"/>
        </w:trPr>
        <w:tc>
          <w:tcPr>
            <w:tcW w:w="3104" w:type="dxa"/>
          </w:tcPr>
          <w:p>
            <w:pPr>
              <w:pStyle w:val="TableParagraph"/>
              <w:rPr>
                <w:sz w:val="20"/>
              </w:rPr>
            </w:pPr>
            <w:r>
              <w:rPr>
                <w:sz w:val="20"/>
              </w:rPr>
              <w:t>Payables </w:t>
            </w:r>
            <w:r>
              <w:rPr>
                <w:spacing w:val="-4"/>
                <w:sz w:val="20"/>
              </w:rPr>
              <w:t>Days</w:t>
            </w:r>
          </w:p>
        </w:tc>
        <w:tc>
          <w:tcPr>
            <w:tcW w:w="1229" w:type="dxa"/>
          </w:tcPr>
          <w:p>
            <w:pPr>
              <w:pStyle w:val="TableParagraph"/>
              <w:rPr>
                <w:sz w:val="20"/>
              </w:rPr>
            </w:pPr>
            <w:r>
              <w:rPr>
                <w:spacing w:val="-4"/>
                <w:sz w:val="20"/>
              </w:rPr>
              <w:t>42.6</w:t>
            </w:r>
          </w:p>
        </w:tc>
        <w:tc>
          <w:tcPr>
            <w:tcW w:w="1229" w:type="dxa"/>
          </w:tcPr>
          <w:p>
            <w:pPr>
              <w:pStyle w:val="TableParagraph"/>
              <w:rPr>
                <w:sz w:val="20"/>
              </w:rPr>
            </w:pPr>
            <w:r>
              <w:rPr>
                <w:spacing w:val="-4"/>
                <w:sz w:val="20"/>
              </w:rPr>
              <w:t>43.2</w:t>
            </w:r>
          </w:p>
        </w:tc>
        <w:tc>
          <w:tcPr>
            <w:tcW w:w="1229" w:type="dxa"/>
          </w:tcPr>
          <w:p>
            <w:pPr>
              <w:pStyle w:val="TableParagraph"/>
              <w:ind w:left="121"/>
              <w:rPr>
                <w:sz w:val="20"/>
              </w:rPr>
            </w:pPr>
            <w:r>
              <w:rPr>
                <w:spacing w:val="-4"/>
                <w:sz w:val="20"/>
              </w:rPr>
              <w:t>43.5</w:t>
            </w:r>
          </w:p>
        </w:tc>
        <w:tc>
          <w:tcPr>
            <w:tcW w:w="1229" w:type="dxa"/>
          </w:tcPr>
          <w:p>
            <w:pPr>
              <w:pStyle w:val="TableParagraph"/>
              <w:ind w:left="121"/>
              <w:rPr>
                <w:sz w:val="20"/>
              </w:rPr>
            </w:pPr>
            <w:r>
              <w:rPr>
                <w:spacing w:val="-4"/>
                <w:sz w:val="20"/>
              </w:rPr>
              <w:t>42.9</w:t>
            </w:r>
          </w:p>
        </w:tc>
        <w:tc>
          <w:tcPr>
            <w:tcW w:w="1229" w:type="dxa"/>
          </w:tcPr>
          <w:p>
            <w:pPr>
              <w:pStyle w:val="TableParagraph"/>
              <w:ind w:left="121"/>
              <w:rPr>
                <w:sz w:val="20"/>
              </w:rPr>
            </w:pPr>
            <w:r>
              <w:rPr>
                <w:spacing w:val="-4"/>
                <w:sz w:val="20"/>
              </w:rPr>
              <w:t>42.3</w:t>
            </w:r>
          </w:p>
        </w:tc>
        <w:tc>
          <w:tcPr>
            <w:tcW w:w="1035" w:type="dxa"/>
          </w:tcPr>
          <w:p>
            <w:pPr>
              <w:pStyle w:val="TableParagraph"/>
              <w:ind w:left="122"/>
              <w:rPr>
                <w:sz w:val="20"/>
              </w:rPr>
            </w:pPr>
            <w:r>
              <w:rPr>
                <w:sz w:val="20"/>
              </w:rPr>
              <w:t>-</w:t>
            </w:r>
            <w:r>
              <w:rPr>
                <w:spacing w:val="-5"/>
                <w:sz w:val="20"/>
              </w:rPr>
              <w:t>0.3</w:t>
            </w:r>
          </w:p>
        </w:tc>
      </w:tr>
      <w:tr>
        <w:trPr>
          <w:trHeight w:val="350" w:hRule="atLeast"/>
        </w:trPr>
        <w:tc>
          <w:tcPr>
            <w:tcW w:w="3104" w:type="dxa"/>
          </w:tcPr>
          <w:p>
            <w:pPr>
              <w:pStyle w:val="TableParagraph"/>
              <w:rPr>
                <w:sz w:val="20"/>
              </w:rPr>
            </w:pPr>
            <w:r>
              <w:rPr>
                <w:sz w:val="20"/>
              </w:rPr>
              <w:t>Cash Conversion Cycle </w:t>
            </w:r>
            <w:r>
              <w:rPr>
                <w:spacing w:val="-2"/>
                <w:sz w:val="20"/>
              </w:rPr>
              <w:t>(Days)</w:t>
            </w:r>
          </w:p>
        </w:tc>
        <w:tc>
          <w:tcPr>
            <w:tcW w:w="1229" w:type="dxa"/>
          </w:tcPr>
          <w:p>
            <w:pPr>
              <w:pStyle w:val="TableParagraph"/>
              <w:rPr>
                <w:sz w:val="20"/>
              </w:rPr>
            </w:pPr>
            <w:r>
              <w:rPr>
                <w:spacing w:val="-4"/>
                <w:sz w:val="20"/>
              </w:rPr>
              <w:t>29.8</w:t>
            </w:r>
          </w:p>
        </w:tc>
        <w:tc>
          <w:tcPr>
            <w:tcW w:w="1229" w:type="dxa"/>
          </w:tcPr>
          <w:p>
            <w:pPr>
              <w:pStyle w:val="TableParagraph"/>
              <w:rPr>
                <w:sz w:val="20"/>
              </w:rPr>
            </w:pPr>
            <w:r>
              <w:rPr>
                <w:spacing w:val="-4"/>
                <w:sz w:val="20"/>
              </w:rPr>
              <w:t>30.3</w:t>
            </w:r>
          </w:p>
        </w:tc>
        <w:tc>
          <w:tcPr>
            <w:tcW w:w="1229" w:type="dxa"/>
          </w:tcPr>
          <w:p>
            <w:pPr>
              <w:pStyle w:val="TableParagraph"/>
              <w:ind w:left="121"/>
              <w:rPr>
                <w:sz w:val="20"/>
              </w:rPr>
            </w:pPr>
            <w:r>
              <w:rPr>
                <w:spacing w:val="-4"/>
                <w:sz w:val="20"/>
              </w:rPr>
              <w:t>30.4</w:t>
            </w:r>
          </w:p>
        </w:tc>
        <w:tc>
          <w:tcPr>
            <w:tcW w:w="1229" w:type="dxa"/>
          </w:tcPr>
          <w:p>
            <w:pPr>
              <w:pStyle w:val="TableParagraph"/>
              <w:ind w:left="121"/>
              <w:rPr>
                <w:sz w:val="20"/>
              </w:rPr>
            </w:pPr>
            <w:r>
              <w:rPr>
                <w:spacing w:val="-4"/>
                <w:sz w:val="20"/>
              </w:rPr>
              <w:t>30.7</w:t>
            </w:r>
          </w:p>
        </w:tc>
        <w:tc>
          <w:tcPr>
            <w:tcW w:w="1229" w:type="dxa"/>
          </w:tcPr>
          <w:p>
            <w:pPr>
              <w:pStyle w:val="TableParagraph"/>
              <w:ind w:left="121"/>
              <w:rPr>
                <w:sz w:val="20"/>
              </w:rPr>
            </w:pPr>
            <w:r>
              <w:rPr>
                <w:spacing w:val="-4"/>
                <w:sz w:val="20"/>
              </w:rPr>
              <w:t>30.7</w:t>
            </w:r>
          </w:p>
        </w:tc>
        <w:tc>
          <w:tcPr>
            <w:tcW w:w="1035" w:type="dxa"/>
          </w:tcPr>
          <w:p>
            <w:pPr>
              <w:pStyle w:val="TableParagraph"/>
              <w:ind w:left="122"/>
              <w:rPr>
                <w:sz w:val="20"/>
              </w:rPr>
            </w:pPr>
            <w:r>
              <w:rPr>
                <w:spacing w:val="-4"/>
                <w:sz w:val="20"/>
              </w:rPr>
              <w:t>+0.9</w:t>
            </w:r>
          </w:p>
        </w:tc>
      </w:tr>
    </w:tbl>
    <w:p>
      <w:pPr>
        <w:pStyle w:val="BodyText"/>
        <w:spacing w:before="228"/>
        <w:rPr>
          <w:rFonts w:ascii="Arial"/>
          <w:b/>
        </w:rPr>
      </w:pPr>
    </w:p>
    <w:p>
      <w:pPr>
        <w:spacing w:before="1"/>
        <w:ind w:left="120" w:right="0" w:firstLine="0"/>
        <w:jc w:val="left"/>
        <w:rPr>
          <w:rFonts w:ascii="Arial"/>
          <w:i/>
          <w:sz w:val="24"/>
        </w:rPr>
      </w:pPr>
      <w:r>
        <w:rPr>
          <w:rFonts w:ascii="Arial"/>
          <w:i/>
          <w:sz w:val="24"/>
        </w:rPr>
        <w:t>Source: Calculated from RIL Segment Reporting, FY2020-21 to FY2024-</w:t>
      </w:r>
      <w:r>
        <w:rPr>
          <w:rFonts w:ascii="Arial"/>
          <w:i/>
          <w:spacing w:val="-5"/>
          <w:sz w:val="24"/>
        </w:rPr>
        <w:t>25</w:t>
      </w:r>
    </w:p>
    <w:p>
      <w:pPr>
        <w:pStyle w:val="BodyText"/>
        <w:spacing w:before="7"/>
        <w:rPr>
          <w:rFonts w:ascii="Arial"/>
          <w:i/>
        </w:rPr>
      </w:pPr>
    </w:p>
    <w:p>
      <w:pPr>
        <w:pStyle w:val="Heading4"/>
        <w:spacing w:before="1"/>
      </w:pPr>
      <w:r>
        <w:rPr/>
        <w:t>Key </w:t>
      </w:r>
      <w:r>
        <w:rPr>
          <w:spacing w:val="-2"/>
        </w:rPr>
        <w:t>Observations:</w:t>
      </w:r>
    </w:p>
    <w:p>
      <w:pPr>
        <w:pStyle w:val="BodyText"/>
        <w:spacing w:before="37"/>
        <w:rPr>
          <w:rFonts w:ascii="Arial"/>
          <w:b/>
        </w:rPr>
      </w:pPr>
    </w:p>
    <w:p>
      <w:pPr>
        <w:pStyle w:val="ListParagraph"/>
        <w:numPr>
          <w:ilvl w:val="0"/>
          <w:numId w:val="21"/>
        </w:numPr>
        <w:tabs>
          <w:tab w:pos="386" w:val="left" w:leader="none"/>
        </w:tabs>
        <w:spacing w:line="208" w:lineRule="auto" w:before="0" w:after="0"/>
        <w:ind w:left="120" w:right="1819" w:firstLine="0"/>
        <w:jc w:val="left"/>
        <w:rPr>
          <w:sz w:val="24"/>
        </w:rPr>
      </w:pPr>
      <w:r>
        <w:rPr>
          <w:rFonts w:ascii="Arial"/>
          <w:b/>
          <w:sz w:val="24"/>
        </w:rPr>
        <w:t>Growing Working Capital Requirements: </w:t>
      </w:r>
      <w:r>
        <w:rPr>
          <w:sz w:val="24"/>
        </w:rPr>
        <w:t>The retail segment's working capital increased</w:t>
      </w:r>
      <w:r>
        <w:rPr>
          <w:spacing w:val="-4"/>
          <w:sz w:val="24"/>
        </w:rPr>
        <w:t> </w:t>
      </w:r>
      <w:r>
        <w:rPr>
          <w:sz w:val="24"/>
        </w:rPr>
        <w:t>by</w:t>
      </w:r>
      <w:r>
        <w:rPr>
          <w:spacing w:val="-4"/>
          <w:sz w:val="24"/>
        </w:rPr>
        <w:t> </w:t>
      </w:r>
      <w:r>
        <w:rPr>
          <w:sz w:val="24"/>
        </w:rPr>
        <w:t>103.7%</w:t>
      </w:r>
      <w:r>
        <w:rPr>
          <w:spacing w:val="-4"/>
          <w:sz w:val="24"/>
        </w:rPr>
        <w:t> </w:t>
      </w:r>
      <w:r>
        <w:rPr>
          <w:sz w:val="24"/>
        </w:rPr>
        <w:t>over</w:t>
      </w:r>
      <w:r>
        <w:rPr>
          <w:spacing w:val="-4"/>
          <w:sz w:val="24"/>
        </w:rPr>
        <w:t> </w:t>
      </w:r>
      <w:r>
        <w:rPr>
          <w:sz w:val="24"/>
        </w:rPr>
        <w:t>the</w:t>
      </w:r>
      <w:r>
        <w:rPr>
          <w:spacing w:val="-4"/>
          <w:sz w:val="24"/>
        </w:rPr>
        <w:t> </w:t>
      </w:r>
      <w:r>
        <w:rPr>
          <w:sz w:val="24"/>
        </w:rPr>
        <w:t>five-year</w:t>
      </w:r>
      <w:r>
        <w:rPr>
          <w:spacing w:val="-4"/>
          <w:sz w:val="24"/>
        </w:rPr>
        <w:t> </w:t>
      </w:r>
      <w:r>
        <w:rPr>
          <w:sz w:val="24"/>
        </w:rPr>
        <w:t>period,</w:t>
      </w:r>
      <w:r>
        <w:rPr>
          <w:spacing w:val="-4"/>
          <w:sz w:val="24"/>
        </w:rPr>
        <w:t> </w:t>
      </w:r>
      <w:r>
        <w:rPr>
          <w:sz w:val="24"/>
        </w:rPr>
        <w:t>slightly</w:t>
      </w:r>
      <w:r>
        <w:rPr>
          <w:spacing w:val="-4"/>
          <w:sz w:val="24"/>
        </w:rPr>
        <w:t> </w:t>
      </w:r>
      <w:r>
        <w:rPr>
          <w:sz w:val="24"/>
        </w:rPr>
        <w:t>outpacing</w:t>
      </w:r>
      <w:r>
        <w:rPr>
          <w:spacing w:val="-4"/>
          <w:sz w:val="24"/>
        </w:rPr>
        <w:t> </w:t>
      </w:r>
      <w:r>
        <w:rPr>
          <w:sz w:val="24"/>
        </w:rPr>
        <w:t>revenue</w:t>
      </w:r>
      <w:r>
        <w:rPr>
          <w:spacing w:val="-4"/>
          <w:sz w:val="24"/>
        </w:rPr>
        <w:t> </w:t>
      </w:r>
      <w:r>
        <w:rPr>
          <w:sz w:val="24"/>
        </w:rPr>
        <w:t>growth</w:t>
      </w:r>
      <w:r>
        <w:rPr>
          <w:spacing w:val="-4"/>
          <w:sz w:val="24"/>
        </w:rPr>
        <w:t> </w:t>
      </w:r>
      <w:r>
        <w:rPr>
          <w:sz w:val="24"/>
        </w:rPr>
        <w:t>of 96.0%.</w:t>
      </w:r>
      <w:r>
        <w:rPr>
          <w:spacing w:val="-2"/>
          <w:sz w:val="24"/>
        </w:rPr>
        <w:t> </w:t>
      </w:r>
      <w:r>
        <w:rPr>
          <w:sz w:val="24"/>
        </w:rPr>
        <w:t>This</w:t>
      </w:r>
      <w:r>
        <w:rPr>
          <w:spacing w:val="-2"/>
          <w:sz w:val="24"/>
        </w:rPr>
        <w:t> </w:t>
      </w:r>
      <w:r>
        <w:rPr>
          <w:sz w:val="24"/>
        </w:rPr>
        <w:t>reflects</w:t>
      </w:r>
      <w:r>
        <w:rPr>
          <w:spacing w:val="-2"/>
          <w:sz w:val="24"/>
        </w:rPr>
        <w:t> </w:t>
      </w:r>
      <w:r>
        <w:rPr>
          <w:sz w:val="24"/>
        </w:rPr>
        <w:t>the</w:t>
      </w:r>
      <w:r>
        <w:rPr>
          <w:spacing w:val="-2"/>
          <w:sz w:val="24"/>
        </w:rPr>
        <w:t> </w:t>
      </w:r>
      <w:r>
        <w:rPr>
          <w:sz w:val="24"/>
        </w:rPr>
        <w:t>capital-intensive</w:t>
      </w:r>
      <w:r>
        <w:rPr>
          <w:spacing w:val="-2"/>
          <w:sz w:val="24"/>
        </w:rPr>
        <w:t> </w:t>
      </w:r>
      <w:r>
        <w:rPr>
          <w:sz w:val="24"/>
        </w:rPr>
        <w:t>nature</w:t>
      </w:r>
      <w:r>
        <w:rPr>
          <w:spacing w:val="-2"/>
          <w:sz w:val="24"/>
        </w:rPr>
        <w:t> </w:t>
      </w:r>
      <w:r>
        <w:rPr>
          <w:sz w:val="24"/>
        </w:rPr>
        <w:t>of</w:t>
      </w:r>
      <w:r>
        <w:rPr>
          <w:spacing w:val="-2"/>
          <w:sz w:val="24"/>
        </w:rPr>
        <w:t> </w:t>
      </w:r>
      <w:r>
        <w:rPr>
          <w:sz w:val="24"/>
        </w:rPr>
        <w:t>retail</w:t>
      </w:r>
      <w:r>
        <w:rPr>
          <w:spacing w:val="-2"/>
          <w:sz w:val="24"/>
        </w:rPr>
        <w:t> </w:t>
      </w:r>
      <w:r>
        <w:rPr>
          <w:sz w:val="24"/>
        </w:rPr>
        <w:t>expansion,</w:t>
      </w:r>
      <w:r>
        <w:rPr>
          <w:spacing w:val="-2"/>
          <w:sz w:val="24"/>
        </w:rPr>
        <w:t> </w:t>
      </w:r>
      <w:r>
        <w:rPr>
          <w:sz w:val="24"/>
        </w:rPr>
        <w:t>with</w:t>
      </w:r>
      <w:r>
        <w:rPr>
          <w:spacing w:val="-2"/>
          <w:sz w:val="24"/>
        </w:rPr>
        <w:t> </w:t>
      </w:r>
      <w:r>
        <w:rPr>
          <w:sz w:val="24"/>
        </w:rPr>
        <w:t>substantial investments in inventory to support new store openings and category expansions.</w:t>
      </w:r>
    </w:p>
    <w:p>
      <w:pPr>
        <w:pStyle w:val="BodyText"/>
        <w:spacing w:before="43"/>
      </w:pPr>
    </w:p>
    <w:p>
      <w:pPr>
        <w:pStyle w:val="ListParagraph"/>
        <w:numPr>
          <w:ilvl w:val="0"/>
          <w:numId w:val="21"/>
        </w:numPr>
        <w:tabs>
          <w:tab w:pos="386" w:val="left" w:leader="none"/>
        </w:tabs>
        <w:spacing w:line="208" w:lineRule="auto" w:before="1" w:after="0"/>
        <w:ind w:left="120" w:right="1914" w:firstLine="0"/>
        <w:jc w:val="left"/>
        <w:rPr>
          <w:sz w:val="24"/>
        </w:rPr>
      </w:pPr>
      <w:r>
        <w:rPr>
          <w:rFonts w:ascii="Arial"/>
          <w:b/>
          <w:sz w:val="24"/>
        </w:rPr>
        <w:t>Stable</w:t>
      </w:r>
      <w:r>
        <w:rPr>
          <w:rFonts w:ascii="Arial"/>
          <w:b/>
          <w:spacing w:val="-4"/>
          <w:sz w:val="24"/>
        </w:rPr>
        <w:t> </w:t>
      </w:r>
      <w:r>
        <w:rPr>
          <w:rFonts w:ascii="Arial"/>
          <w:b/>
          <w:sz w:val="24"/>
        </w:rPr>
        <w:t>Working</w:t>
      </w:r>
      <w:r>
        <w:rPr>
          <w:rFonts w:ascii="Arial"/>
          <w:b/>
          <w:spacing w:val="-4"/>
          <w:sz w:val="24"/>
        </w:rPr>
        <w:t> </w:t>
      </w:r>
      <w:r>
        <w:rPr>
          <w:rFonts w:ascii="Arial"/>
          <w:b/>
          <w:sz w:val="24"/>
        </w:rPr>
        <w:t>Capital</w:t>
      </w:r>
      <w:r>
        <w:rPr>
          <w:rFonts w:ascii="Arial"/>
          <w:b/>
          <w:spacing w:val="-4"/>
          <w:sz w:val="24"/>
        </w:rPr>
        <w:t> </w:t>
      </w:r>
      <w:r>
        <w:rPr>
          <w:rFonts w:ascii="Arial"/>
          <w:b/>
          <w:sz w:val="24"/>
        </w:rPr>
        <w:t>Intensity:</w:t>
      </w:r>
      <w:r>
        <w:rPr>
          <w:rFonts w:ascii="Arial"/>
          <w:b/>
          <w:spacing w:val="-4"/>
          <w:sz w:val="24"/>
        </w:rPr>
        <w:t> </w:t>
      </w:r>
      <w:r>
        <w:rPr>
          <w:sz w:val="24"/>
        </w:rPr>
        <w:t>Working</w:t>
      </w:r>
      <w:r>
        <w:rPr>
          <w:spacing w:val="-4"/>
          <w:sz w:val="24"/>
        </w:rPr>
        <w:t> </w:t>
      </w:r>
      <w:r>
        <w:rPr>
          <w:sz w:val="24"/>
        </w:rPr>
        <w:t>capital</w:t>
      </w:r>
      <w:r>
        <w:rPr>
          <w:spacing w:val="-4"/>
          <w:sz w:val="24"/>
        </w:rPr>
        <w:t> </w:t>
      </w:r>
      <w:r>
        <w:rPr>
          <w:sz w:val="24"/>
        </w:rPr>
        <w:t>as</w:t>
      </w:r>
      <w:r>
        <w:rPr>
          <w:spacing w:val="-4"/>
          <w:sz w:val="24"/>
        </w:rPr>
        <w:t> </w:t>
      </w:r>
      <w:r>
        <w:rPr>
          <w:sz w:val="24"/>
        </w:rPr>
        <w:t>a</w:t>
      </w:r>
      <w:r>
        <w:rPr>
          <w:spacing w:val="-4"/>
          <w:sz w:val="24"/>
        </w:rPr>
        <w:t> </w:t>
      </w:r>
      <w:r>
        <w:rPr>
          <w:sz w:val="24"/>
        </w:rPr>
        <w:t>percentage</w:t>
      </w:r>
      <w:r>
        <w:rPr>
          <w:spacing w:val="-4"/>
          <w:sz w:val="24"/>
        </w:rPr>
        <w:t> </w:t>
      </w:r>
      <w:r>
        <w:rPr>
          <w:sz w:val="24"/>
        </w:rPr>
        <w:t>of</w:t>
      </w:r>
      <w:r>
        <w:rPr>
          <w:spacing w:val="-4"/>
          <w:sz w:val="24"/>
        </w:rPr>
        <w:t> </w:t>
      </w:r>
      <w:r>
        <w:rPr>
          <w:sz w:val="24"/>
        </w:rPr>
        <w:t>segment revenue remained relatively stable, increasing marginally from 13.7% to 14.3%, despite significant business expansion and the addition of new retail formats.</w:t>
      </w:r>
    </w:p>
    <w:p>
      <w:pPr>
        <w:pStyle w:val="BodyText"/>
        <w:spacing w:before="43"/>
      </w:pPr>
    </w:p>
    <w:p>
      <w:pPr>
        <w:pStyle w:val="ListParagraph"/>
        <w:numPr>
          <w:ilvl w:val="0"/>
          <w:numId w:val="21"/>
        </w:numPr>
        <w:tabs>
          <w:tab w:pos="386" w:val="left" w:leader="none"/>
        </w:tabs>
        <w:spacing w:line="208" w:lineRule="auto" w:before="0" w:after="0"/>
        <w:ind w:left="120" w:right="1556" w:firstLine="0"/>
        <w:jc w:val="left"/>
        <w:rPr>
          <w:sz w:val="24"/>
        </w:rPr>
      </w:pPr>
      <w:r>
        <w:rPr>
          <w:rFonts w:ascii="Arial"/>
          <w:b/>
          <w:sz w:val="24"/>
        </w:rPr>
        <w:t>Inventory Management Challenges: </w:t>
      </w:r>
      <w:r>
        <w:rPr>
          <w:sz w:val="24"/>
        </w:rPr>
        <w:t>Inventory days increased slightly from 68.5 to</w:t>
      </w:r>
      <w:r>
        <w:rPr>
          <w:spacing w:val="-6"/>
          <w:sz w:val="24"/>
        </w:rPr>
        <w:t> </w:t>
      </w:r>
      <w:r>
        <w:rPr>
          <w:sz w:val="24"/>
        </w:rPr>
        <w:t>69.8</w:t>
      </w:r>
      <w:r>
        <w:rPr>
          <w:spacing w:val="-6"/>
          <w:sz w:val="24"/>
        </w:rPr>
        <w:t> </w:t>
      </w:r>
      <w:r>
        <w:rPr>
          <w:sz w:val="24"/>
        </w:rPr>
        <w:t>days,</w:t>
      </w:r>
      <w:r>
        <w:rPr>
          <w:spacing w:val="-6"/>
          <w:sz w:val="24"/>
        </w:rPr>
        <w:t> </w:t>
      </w:r>
      <w:r>
        <w:rPr>
          <w:sz w:val="24"/>
        </w:rPr>
        <w:t>reflecting</w:t>
      </w:r>
      <w:r>
        <w:rPr>
          <w:spacing w:val="-6"/>
          <w:sz w:val="24"/>
        </w:rPr>
        <w:t> </w:t>
      </w:r>
      <w:r>
        <w:rPr>
          <w:sz w:val="24"/>
        </w:rPr>
        <w:t>the</w:t>
      </w:r>
      <w:r>
        <w:rPr>
          <w:spacing w:val="-6"/>
          <w:sz w:val="24"/>
        </w:rPr>
        <w:t> </w:t>
      </w:r>
      <w:r>
        <w:rPr>
          <w:sz w:val="24"/>
        </w:rPr>
        <w:t>challenges</w:t>
      </w:r>
      <w:r>
        <w:rPr>
          <w:spacing w:val="-6"/>
          <w:sz w:val="24"/>
        </w:rPr>
        <w:t> </w:t>
      </w:r>
      <w:r>
        <w:rPr>
          <w:sz w:val="24"/>
        </w:rPr>
        <w:t>of</w:t>
      </w:r>
      <w:r>
        <w:rPr>
          <w:spacing w:val="-6"/>
          <w:sz w:val="24"/>
        </w:rPr>
        <w:t> </w:t>
      </w:r>
      <w:r>
        <w:rPr>
          <w:sz w:val="24"/>
        </w:rPr>
        <w:t>inventory</w:t>
      </w:r>
      <w:r>
        <w:rPr>
          <w:spacing w:val="-6"/>
          <w:sz w:val="24"/>
        </w:rPr>
        <w:t> </w:t>
      </w:r>
      <w:r>
        <w:rPr>
          <w:sz w:val="24"/>
        </w:rPr>
        <w:t>management</w:t>
      </w:r>
      <w:r>
        <w:rPr>
          <w:spacing w:val="-6"/>
          <w:sz w:val="24"/>
        </w:rPr>
        <w:t> </w:t>
      </w:r>
      <w:r>
        <w:rPr>
          <w:sz w:val="24"/>
        </w:rPr>
        <w:t>in</w:t>
      </w:r>
      <w:r>
        <w:rPr>
          <w:spacing w:val="-6"/>
          <w:sz w:val="24"/>
        </w:rPr>
        <w:t> </w:t>
      </w:r>
      <w:r>
        <w:rPr>
          <w:sz w:val="24"/>
        </w:rPr>
        <w:t>an</w:t>
      </w:r>
      <w:r>
        <w:rPr>
          <w:spacing w:val="-6"/>
          <w:sz w:val="24"/>
        </w:rPr>
        <w:t> </w:t>
      </w:r>
      <w:r>
        <w:rPr>
          <w:sz w:val="24"/>
        </w:rPr>
        <w:t>expanding</w:t>
      </w:r>
      <w:r>
        <w:rPr>
          <w:spacing w:val="-6"/>
          <w:sz w:val="24"/>
        </w:rPr>
        <w:t> </w:t>
      </w:r>
      <w:r>
        <w:rPr>
          <w:sz w:val="24"/>
        </w:rPr>
        <w:t>retail operation with increasingly diverse product categories.</w:t>
      </w:r>
    </w:p>
    <w:p>
      <w:pPr>
        <w:pStyle w:val="BodyText"/>
        <w:spacing w:before="44"/>
      </w:pPr>
    </w:p>
    <w:p>
      <w:pPr>
        <w:pStyle w:val="ListParagraph"/>
        <w:numPr>
          <w:ilvl w:val="0"/>
          <w:numId w:val="21"/>
        </w:numPr>
        <w:tabs>
          <w:tab w:pos="384" w:val="left" w:leader="none"/>
        </w:tabs>
        <w:spacing w:line="208" w:lineRule="auto" w:before="0" w:after="0"/>
        <w:ind w:left="120" w:right="1557" w:firstLine="0"/>
        <w:jc w:val="left"/>
        <w:rPr>
          <w:sz w:val="24"/>
        </w:rPr>
      </w:pPr>
      <w:r>
        <w:rPr>
          <w:rFonts w:ascii="Arial"/>
          <w:b/>
          <w:sz w:val="24"/>
        </w:rPr>
        <w:t>Cash</w:t>
      </w:r>
      <w:r>
        <w:rPr>
          <w:rFonts w:ascii="Arial"/>
          <w:b/>
          <w:spacing w:val="-6"/>
          <w:sz w:val="24"/>
        </w:rPr>
        <w:t> </w:t>
      </w:r>
      <w:r>
        <w:rPr>
          <w:rFonts w:ascii="Arial"/>
          <w:b/>
          <w:sz w:val="24"/>
        </w:rPr>
        <w:t>Cycle</w:t>
      </w:r>
      <w:r>
        <w:rPr>
          <w:rFonts w:ascii="Arial"/>
          <w:b/>
          <w:spacing w:val="-6"/>
          <w:sz w:val="24"/>
        </w:rPr>
        <w:t> </w:t>
      </w:r>
      <w:r>
        <w:rPr>
          <w:rFonts w:ascii="Arial"/>
          <w:b/>
          <w:sz w:val="24"/>
        </w:rPr>
        <w:t>Stability:</w:t>
      </w:r>
      <w:r>
        <w:rPr>
          <w:rFonts w:ascii="Arial"/>
          <w:b/>
          <w:spacing w:val="-6"/>
          <w:sz w:val="24"/>
        </w:rPr>
        <w:t> </w:t>
      </w:r>
      <w:r>
        <w:rPr>
          <w:sz w:val="24"/>
        </w:rPr>
        <w:t>The</w:t>
      </w:r>
      <w:r>
        <w:rPr>
          <w:spacing w:val="-6"/>
          <w:sz w:val="24"/>
        </w:rPr>
        <w:t> </w:t>
      </w:r>
      <w:r>
        <w:rPr>
          <w:sz w:val="24"/>
        </w:rPr>
        <w:t>cash</w:t>
      </w:r>
      <w:r>
        <w:rPr>
          <w:spacing w:val="-6"/>
          <w:sz w:val="24"/>
        </w:rPr>
        <w:t> </w:t>
      </w:r>
      <w:r>
        <w:rPr>
          <w:sz w:val="24"/>
        </w:rPr>
        <w:t>conversion</w:t>
      </w:r>
      <w:r>
        <w:rPr>
          <w:spacing w:val="-6"/>
          <w:sz w:val="24"/>
        </w:rPr>
        <w:t> </w:t>
      </w:r>
      <w:r>
        <w:rPr>
          <w:sz w:val="24"/>
        </w:rPr>
        <w:t>cycle</w:t>
      </w:r>
      <w:r>
        <w:rPr>
          <w:spacing w:val="-6"/>
          <w:sz w:val="24"/>
        </w:rPr>
        <w:t> </w:t>
      </w:r>
      <w:r>
        <w:rPr>
          <w:sz w:val="24"/>
        </w:rPr>
        <w:t>remained</w:t>
      </w:r>
      <w:r>
        <w:rPr>
          <w:spacing w:val="-6"/>
          <w:sz w:val="24"/>
        </w:rPr>
        <w:t> </w:t>
      </w:r>
      <w:r>
        <w:rPr>
          <w:sz w:val="24"/>
        </w:rPr>
        <w:t>relatively</w:t>
      </w:r>
      <w:r>
        <w:rPr>
          <w:spacing w:val="-6"/>
          <w:sz w:val="24"/>
        </w:rPr>
        <w:t> </w:t>
      </w:r>
      <w:r>
        <w:rPr>
          <w:sz w:val="24"/>
        </w:rPr>
        <w:t>stable</w:t>
      </w:r>
      <w:r>
        <w:rPr>
          <w:spacing w:val="-6"/>
          <w:sz w:val="24"/>
        </w:rPr>
        <w:t> </w:t>
      </w:r>
      <w:r>
        <w:rPr>
          <w:sz w:val="24"/>
        </w:rPr>
        <w:t>around 30 days, with improvements in receivables management offsetting slight increases in inventory days.</w:t>
      </w:r>
    </w:p>
    <w:p>
      <w:pPr>
        <w:pStyle w:val="BodyText"/>
        <w:spacing w:before="44"/>
      </w:pPr>
    </w:p>
    <w:p>
      <w:pPr>
        <w:pStyle w:val="ListParagraph"/>
        <w:numPr>
          <w:ilvl w:val="0"/>
          <w:numId w:val="21"/>
        </w:numPr>
        <w:tabs>
          <w:tab w:pos="386" w:val="left" w:leader="none"/>
        </w:tabs>
        <w:spacing w:line="208" w:lineRule="auto" w:before="0" w:after="0"/>
        <w:ind w:left="120" w:right="1580" w:firstLine="0"/>
        <w:jc w:val="left"/>
        <w:rPr>
          <w:sz w:val="24"/>
        </w:rPr>
      </w:pPr>
      <w:r>
        <w:rPr>
          <w:rFonts w:ascii="Arial"/>
          <w:b/>
          <w:sz w:val="24"/>
        </w:rPr>
        <w:t>Omnichannel</w:t>
      </w:r>
      <w:r>
        <w:rPr>
          <w:rFonts w:ascii="Arial"/>
          <w:b/>
          <w:spacing w:val="-5"/>
          <w:sz w:val="24"/>
        </w:rPr>
        <w:t> </w:t>
      </w:r>
      <w:r>
        <w:rPr>
          <w:rFonts w:ascii="Arial"/>
          <w:b/>
          <w:sz w:val="24"/>
        </w:rPr>
        <w:t>Impact:</w:t>
      </w:r>
      <w:r>
        <w:rPr>
          <w:rFonts w:ascii="Arial"/>
          <w:b/>
          <w:spacing w:val="-5"/>
          <w:sz w:val="24"/>
        </w:rPr>
        <w:t> </w:t>
      </w:r>
      <w:r>
        <w:rPr>
          <w:sz w:val="24"/>
        </w:rPr>
        <w:t>The</w:t>
      </w:r>
      <w:r>
        <w:rPr>
          <w:spacing w:val="-5"/>
          <w:sz w:val="24"/>
        </w:rPr>
        <w:t> </w:t>
      </w:r>
      <w:r>
        <w:rPr>
          <w:sz w:val="24"/>
        </w:rPr>
        <w:t>expansion</w:t>
      </w:r>
      <w:r>
        <w:rPr>
          <w:spacing w:val="-5"/>
          <w:sz w:val="24"/>
        </w:rPr>
        <w:t> </w:t>
      </w:r>
      <w:r>
        <w:rPr>
          <w:sz w:val="24"/>
        </w:rPr>
        <w:t>of</w:t>
      </w:r>
      <w:r>
        <w:rPr>
          <w:spacing w:val="-5"/>
          <w:sz w:val="24"/>
        </w:rPr>
        <w:t> </w:t>
      </w:r>
      <w:r>
        <w:rPr>
          <w:sz w:val="24"/>
        </w:rPr>
        <w:t>e-commerce</w:t>
      </w:r>
      <w:r>
        <w:rPr>
          <w:spacing w:val="-5"/>
          <w:sz w:val="24"/>
        </w:rPr>
        <w:t> </w:t>
      </w:r>
      <w:r>
        <w:rPr>
          <w:sz w:val="24"/>
        </w:rPr>
        <w:t>operations</w:t>
      </w:r>
      <w:r>
        <w:rPr>
          <w:spacing w:val="-5"/>
          <w:sz w:val="24"/>
        </w:rPr>
        <w:t> </w:t>
      </w:r>
      <w:r>
        <w:rPr>
          <w:sz w:val="24"/>
        </w:rPr>
        <w:t>and</w:t>
      </w:r>
      <w:r>
        <w:rPr>
          <w:spacing w:val="-5"/>
          <w:sz w:val="24"/>
        </w:rPr>
        <w:t> </w:t>
      </w:r>
      <w:r>
        <w:rPr>
          <w:sz w:val="24"/>
        </w:rPr>
        <w:t>omnichannel retail has created additional working capital requirements, particularly for distribution hubs and multi-channel inventory positioning.</w:t>
      </w:r>
    </w:p>
    <w:p>
      <w:pPr>
        <w:pStyle w:val="BodyText"/>
        <w:spacing w:before="57"/>
      </w:pPr>
    </w:p>
    <w:p>
      <w:pPr>
        <w:pStyle w:val="Heading3"/>
        <w:numPr>
          <w:ilvl w:val="2"/>
          <w:numId w:val="3"/>
        </w:numPr>
        <w:tabs>
          <w:tab w:pos="820" w:val="left" w:leader="none"/>
        </w:tabs>
        <w:spacing w:line="240" w:lineRule="auto" w:before="0" w:after="0"/>
        <w:ind w:left="820" w:right="0" w:hanging="700"/>
        <w:jc w:val="left"/>
      </w:pPr>
      <w:r>
        <w:rPr/>
        <w:t>Digital Services </w:t>
      </w:r>
      <w:r>
        <w:rPr>
          <w:spacing w:val="-2"/>
        </w:rPr>
        <w:t>Segment</w:t>
      </w:r>
    </w:p>
    <w:p>
      <w:pPr>
        <w:pStyle w:val="BodyText"/>
        <w:spacing w:before="275"/>
        <w:ind w:left="120"/>
      </w:pPr>
      <w:r>
        <w:rPr/>
        <w:t>Table 5.9 presents key working capital metrics for RIL's Digital Services </w:t>
      </w:r>
      <w:r>
        <w:rPr>
          <w:spacing w:val="-2"/>
        </w:rPr>
        <w:t>segment:</w:t>
      </w:r>
    </w:p>
    <w:p>
      <w:pPr>
        <w:pStyle w:val="BodyText"/>
        <w:spacing w:before="37"/>
      </w:pPr>
    </w:p>
    <w:p>
      <w:pPr>
        <w:pStyle w:val="Heading4"/>
        <w:spacing w:line="208" w:lineRule="auto" w:before="1"/>
        <w:ind w:right="1915"/>
      </w:pPr>
      <w:r>
        <w:rPr/>
        <w:t>Table</w:t>
      </w:r>
      <w:r>
        <w:rPr>
          <w:spacing w:val="-4"/>
        </w:rPr>
        <w:t> </w:t>
      </w:r>
      <w:r>
        <w:rPr/>
        <w:t>5.9:</w:t>
      </w:r>
      <w:r>
        <w:rPr>
          <w:spacing w:val="-4"/>
        </w:rPr>
        <w:t> </w:t>
      </w:r>
      <w:r>
        <w:rPr/>
        <w:t>Working</w:t>
      </w:r>
      <w:r>
        <w:rPr>
          <w:spacing w:val="-4"/>
        </w:rPr>
        <w:t> </w:t>
      </w:r>
      <w:r>
        <w:rPr/>
        <w:t>Capital</w:t>
      </w:r>
      <w:r>
        <w:rPr>
          <w:spacing w:val="-4"/>
        </w:rPr>
        <w:t> </w:t>
      </w:r>
      <w:r>
        <w:rPr/>
        <w:t>Analysis</w:t>
      </w:r>
      <w:r>
        <w:rPr>
          <w:spacing w:val="-4"/>
        </w:rPr>
        <w:t> </w:t>
      </w:r>
      <w:r>
        <w:rPr/>
        <w:t>-</w:t>
      </w:r>
      <w:r>
        <w:rPr>
          <w:spacing w:val="-4"/>
        </w:rPr>
        <w:t> </w:t>
      </w:r>
      <w:r>
        <w:rPr/>
        <w:t>Digital</w:t>
      </w:r>
      <w:r>
        <w:rPr>
          <w:spacing w:val="-4"/>
        </w:rPr>
        <w:t> </w:t>
      </w:r>
      <w:r>
        <w:rPr/>
        <w:t>Services</w:t>
      </w:r>
      <w:r>
        <w:rPr>
          <w:spacing w:val="-4"/>
        </w:rPr>
        <w:t> </w:t>
      </w:r>
      <w:r>
        <w:rPr/>
        <w:t>Segment</w:t>
      </w:r>
      <w:r>
        <w:rPr>
          <w:spacing w:val="-4"/>
        </w:rPr>
        <w:t> </w:t>
      </w:r>
      <w:r>
        <w:rPr/>
        <w:t>(FY2020-21</w:t>
      </w:r>
      <w:r>
        <w:rPr>
          <w:spacing w:val="-4"/>
        </w:rPr>
        <w:t> </w:t>
      </w:r>
      <w:r>
        <w:rPr/>
        <w:t>to </w:t>
      </w:r>
      <w:r>
        <w:rPr>
          <w:spacing w:val="-2"/>
        </w:rPr>
        <w:t>FY2024-25)</w:t>
      </w:r>
    </w:p>
    <w:p>
      <w:pPr>
        <w:pStyle w:val="BodyText"/>
        <w:spacing w:before="1"/>
        <w:rPr>
          <w:rFonts w:ascii="Arial"/>
          <w:b/>
          <w:sz w:val="13"/>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4"/>
        <w:gridCol w:w="1229"/>
        <w:gridCol w:w="1229"/>
        <w:gridCol w:w="1229"/>
        <w:gridCol w:w="1229"/>
        <w:gridCol w:w="1229"/>
        <w:gridCol w:w="940"/>
      </w:tblGrid>
      <w:tr>
        <w:trPr>
          <w:trHeight w:val="350" w:hRule="atLeast"/>
        </w:trPr>
        <w:tc>
          <w:tcPr>
            <w:tcW w:w="3104" w:type="dxa"/>
            <w:shd w:val="clear" w:color="auto" w:fill="D3D3D3"/>
          </w:tcPr>
          <w:p>
            <w:pPr>
              <w:pStyle w:val="TableParagraph"/>
              <w:ind w:left="58" w:right="48"/>
              <w:jc w:val="center"/>
              <w:rPr>
                <w:sz w:val="20"/>
              </w:rPr>
            </w:pPr>
            <w:r>
              <w:rPr>
                <w:spacing w:val="-2"/>
                <w:sz w:val="20"/>
              </w:rPr>
              <w:t>Metric</w:t>
            </w:r>
          </w:p>
        </w:tc>
        <w:tc>
          <w:tcPr>
            <w:tcW w:w="1229" w:type="dxa"/>
            <w:shd w:val="clear" w:color="auto" w:fill="D3D3D3"/>
          </w:tcPr>
          <w:p>
            <w:pPr>
              <w:pStyle w:val="TableParagraph"/>
              <w:rPr>
                <w:sz w:val="20"/>
              </w:rPr>
            </w:pPr>
            <w:r>
              <w:rPr>
                <w:sz w:val="20"/>
              </w:rPr>
              <w:t>FY2020-</w:t>
            </w:r>
            <w:r>
              <w:rPr>
                <w:spacing w:val="-5"/>
                <w:sz w:val="20"/>
              </w:rPr>
              <w:t>21</w:t>
            </w:r>
          </w:p>
        </w:tc>
        <w:tc>
          <w:tcPr>
            <w:tcW w:w="1229" w:type="dxa"/>
            <w:shd w:val="clear" w:color="auto" w:fill="D3D3D3"/>
          </w:tcPr>
          <w:p>
            <w:pPr>
              <w:pStyle w:val="TableParagraph"/>
              <w:rPr>
                <w:sz w:val="20"/>
              </w:rPr>
            </w:pPr>
            <w:r>
              <w:rPr>
                <w:sz w:val="20"/>
              </w:rPr>
              <w:t>FY2021-</w:t>
            </w:r>
            <w:r>
              <w:rPr>
                <w:spacing w:val="-5"/>
                <w:sz w:val="20"/>
              </w:rPr>
              <w:t>22</w:t>
            </w:r>
          </w:p>
        </w:tc>
        <w:tc>
          <w:tcPr>
            <w:tcW w:w="1229" w:type="dxa"/>
            <w:shd w:val="clear" w:color="auto" w:fill="D3D3D3"/>
          </w:tcPr>
          <w:p>
            <w:pPr>
              <w:pStyle w:val="TableParagraph"/>
              <w:ind w:left="121"/>
              <w:rPr>
                <w:sz w:val="20"/>
              </w:rPr>
            </w:pPr>
            <w:r>
              <w:rPr>
                <w:sz w:val="20"/>
              </w:rPr>
              <w:t>FY2022-</w:t>
            </w:r>
            <w:r>
              <w:rPr>
                <w:spacing w:val="-5"/>
                <w:sz w:val="20"/>
              </w:rPr>
              <w:t>23</w:t>
            </w:r>
          </w:p>
        </w:tc>
        <w:tc>
          <w:tcPr>
            <w:tcW w:w="1229" w:type="dxa"/>
            <w:shd w:val="clear" w:color="auto" w:fill="D3D3D3"/>
          </w:tcPr>
          <w:p>
            <w:pPr>
              <w:pStyle w:val="TableParagraph"/>
              <w:ind w:left="121"/>
              <w:rPr>
                <w:sz w:val="20"/>
              </w:rPr>
            </w:pPr>
            <w:r>
              <w:rPr>
                <w:sz w:val="20"/>
              </w:rPr>
              <w:t>FY2023-</w:t>
            </w:r>
            <w:r>
              <w:rPr>
                <w:spacing w:val="-5"/>
                <w:sz w:val="20"/>
              </w:rPr>
              <w:t>24</w:t>
            </w:r>
          </w:p>
        </w:tc>
        <w:tc>
          <w:tcPr>
            <w:tcW w:w="1229" w:type="dxa"/>
            <w:shd w:val="clear" w:color="auto" w:fill="D3D3D3"/>
          </w:tcPr>
          <w:p>
            <w:pPr>
              <w:pStyle w:val="TableParagraph"/>
              <w:ind w:left="121"/>
              <w:rPr>
                <w:sz w:val="20"/>
              </w:rPr>
            </w:pPr>
            <w:r>
              <w:rPr>
                <w:sz w:val="20"/>
              </w:rPr>
              <w:t>FY2024-</w:t>
            </w:r>
            <w:r>
              <w:rPr>
                <w:spacing w:val="-5"/>
                <w:sz w:val="20"/>
              </w:rPr>
              <w:t>25</w:t>
            </w:r>
          </w:p>
        </w:tc>
        <w:tc>
          <w:tcPr>
            <w:tcW w:w="940" w:type="dxa"/>
            <w:shd w:val="clear" w:color="auto" w:fill="D3D3D3"/>
          </w:tcPr>
          <w:p>
            <w:pPr>
              <w:pStyle w:val="TableParagraph"/>
              <w:ind w:left="122"/>
              <w:rPr>
                <w:sz w:val="20"/>
              </w:rPr>
            </w:pPr>
            <w:r>
              <w:rPr>
                <w:spacing w:val="-2"/>
                <w:sz w:val="20"/>
              </w:rPr>
              <w:t>Change</w:t>
            </w:r>
          </w:p>
        </w:tc>
      </w:tr>
      <w:tr>
        <w:trPr>
          <w:trHeight w:val="350" w:hRule="atLeast"/>
        </w:trPr>
        <w:tc>
          <w:tcPr>
            <w:tcW w:w="3104" w:type="dxa"/>
          </w:tcPr>
          <w:p>
            <w:pPr>
              <w:pStyle w:val="TableParagraph"/>
              <w:spacing w:before="55"/>
              <w:rPr>
                <w:sz w:val="20"/>
              </w:rPr>
            </w:pPr>
            <w:r>
              <w:rPr>
                <w:sz w:val="20"/>
              </w:rPr>
              <w:t>Segment Revenue (</w:t>
            </w:r>
            <w:r>
              <w:rPr>
                <w:rFonts w:ascii="MS Gothic" w:hAnsi="MS Gothic"/>
                <w:sz w:val="20"/>
              </w:rPr>
              <w:t>■</w:t>
            </w:r>
            <w:r>
              <w:rPr>
                <w:rFonts w:ascii="Times New Roman" w:hAnsi="Times New Roman"/>
                <w:spacing w:val="5"/>
                <w:sz w:val="20"/>
              </w:rPr>
              <w:t> </w:t>
            </w:r>
            <w:r>
              <w:rPr>
                <w:sz w:val="20"/>
              </w:rPr>
              <w:t>in </w:t>
            </w:r>
            <w:r>
              <w:rPr>
                <w:spacing w:val="-2"/>
                <w:sz w:val="20"/>
              </w:rPr>
              <w:t>Crores)</w:t>
            </w:r>
          </w:p>
        </w:tc>
        <w:tc>
          <w:tcPr>
            <w:tcW w:w="1229" w:type="dxa"/>
          </w:tcPr>
          <w:p>
            <w:pPr>
              <w:pStyle w:val="TableParagraph"/>
              <w:rPr>
                <w:sz w:val="20"/>
              </w:rPr>
            </w:pPr>
            <w:r>
              <w:rPr>
                <w:spacing w:val="-2"/>
                <w:sz w:val="20"/>
              </w:rPr>
              <w:t>94,366</w:t>
            </w:r>
          </w:p>
        </w:tc>
        <w:tc>
          <w:tcPr>
            <w:tcW w:w="1229" w:type="dxa"/>
          </w:tcPr>
          <w:p>
            <w:pPr>
              <w:pStyle w:val="TableParagraph"/>
              <w:rPr>
                <w:sz w:val="20"/>
              </w:rPr>
            </w:pPr>
            <w:r>
              <w:rPr>
                <w:spacing w:val="-2"/>
                <w:sz w:val="20"/>
              </w:rPr>
              <w:t>110,061</w:t>
            </w:r>
          </w:p>
        </w:tc>
        <w:tc>
          <w:tcPr>
            <w:tcW w:w="1229" w:type="dxa"/>
          </w:tcPr>
          <w:p>
            <w:pPr>
              <w:pStyle w:val="TableParagraph"/>
              <w:ind w:left="121"/>
              <w:rPr>
                <w:sz w:val="20"/>
              </w:rPr>
            </w:pPr>
            <w:r>
              <w:rPr>
                <w:spacing w:val="-2"/>
                <w:sz w:val="20"/>
              </w:rPr>
              <w:t>128,825</w:t>
            </w:r>
          </w:p>
        </w:tc>
        <w:tc>
          <w:tcPr>
            <w:tcW w:w="1229" w:type="dxa"/>
          </w:tcPr>
          <w:p>
            <w:pPr>
              <w:pStyle w:val="TableParagraph"/>
              <w:ind w:left="121"/>
              <w:rPr>
                <w:sz w:val="20"/>
              </w:rPr>
            </w:pPr>
            <w:r>
              <w:rPr>
                <w:spacing w:val="-2"/>
                <w:sz w:val="20"/>
              </w:rPr>
              <w:t>148,907</w:t>
            </w:r>
          </w:p>
        </w:tc>
        <w:tc>
          <w:tcPr>
            <w:tcW w:w="1229" w:type="dxa"/>
          </w:tcPr>
          <w:p>
            <w:pPr>
              <w:pStyle w:val="TableParagraph"/>
              <w:ind w:left="121"/>
              <w:rPr>
                <w:sz w:val="20"/>
              </w:rPr>
            </w:pPr>
            <w:r>
              <w:rPr>
                <w:spacing w:val="-2"/>
                <w:sz w:val="20"/>
              </w:rPr>
              <w:t>166,279</w:t>
            </w:r>
          </w:p>
        </w:tc>
        <w:tc>
          <w:tcPr>
            <w:tcW w:w="940" w:type="dxa"/>
          </w:tcPr>
          <w:p>
            <w:pPr>
              <w:pStyle w:val="TableParagraph"/>
              <w:ind w:left="122"/>
              <w:rPr>
                <w:sz w:val="20"/>
              </w:rPr>
            </w:pPr>
            <w:r>
              <w:rPr>
                <w:spacing w:val="-2"/>
                <w:sz w:val="20"/>
              </w:rPr>
              <w:t>+76.2%</w:t>
            </w:r>
          </w:p>
        </w:tc>
      </w:tr>
      <w:tr>
        <w:trPr>
          <w:trHeight w:val="350" w:hRule="atLeast"/>
        </w:trPr>
        <w:tc>
          <w:tcPr>
            <w:tcW w:w="3104" w:type="dxa"/>
          </w:tcPr>
          <w:p>
            <w:pPr>
              <w:pStyle w:val="TableParagraph"/>
              <w:spacing w:before="55"/>
              <w:rPr>
                <w:sz w:val="20"/>
              </w:rPr>
            </w:pPr>
            <w:r>
              <w:rPr>
                <w:sz w:val="20"/>
              </w:rPr>
              <w:t>Working Capital (</w:t>
            </w:r>
            <w:r>
              <w:rPr>
                <w:rFonts w:ascii="MS Gothic" w:hAnsi="MS Gothic"/>
                <w:sz w:val="20"/>
              </w:rPr>
              <w:t>■</w:t>
            </w:r>
            <w:r>
              <w:rPr>
                <w:rFonts w:ascii="Times New Roman" w:hAnsi="Times New Roman"/>
                <w:spacing w:val="5"/>
                <w:sz w:val="20"/>
              </w:rPr>
              <w:t> </w:t>
            </w:r>
            <w:r>
              <w:rPr>
                <w:sz w:val="20"/>
              </w:rPr>
              <w:t>in </w:t>
            </w:r>
            <w:r>
              <w:rPr>
                <w:spacing w:val="-2"/>
                <w:sz w:val="20"/>
              </w:rPr>
              <w:t>Crores)</w:t>
            </w:r>
          </w:p>
        </w:tc>
        <w:tc>
          <w:tcPr>
            <w:tcW w:w="1229" w:type="dxa"/>
          </w:tcPr>
          <w:p>
            <w:pPr>
              <w:pStyle w:val="TableParagraph"/>
              <w:rPr>
                <w:sz w:val="20"/>
              </w:rPr>
            </w:pPr>
            <w:r>
              <w:rPr>
                <w:spacing w:val="-2"/>
                <w:sz w:val="20"/>
              </w:rPr>
              <w:t>8,493</w:t>
            </w:r>
          </w:p>
        </w:tc>
        <w:tc>
          <w:tcPr>
            <w:tcW w:w="1229" w:type="dxa"/>
          </w:tcPr>
          <w:p>
            <w:pPr>
              <w:pStyle w:val="TableParagraph"/>
              <w:rPr>
                <w:sz w:val="20"/>
              </w:rPr>
            </w:pPr>
            <w:r>
              <w:rPr>
                <w:spacing w:val="-2"/>
                <w:sz w:val="20"/>
              </w:rPr>
              <w:t>9,456</w:t>
            </w:r>
          </w:p>
        </w:tc>
        <w:tc>
          <w:tcPr>
            <w:tcW w:w="1229" w:type="dxa"/>
          </w:tcPr>
          <w:p>
            <w:pPr>
              <w:pStyle w:val="TableParagraph"/>
              <w:ind w:left="121"/>
              <w:rPr>
                <w:sz w:val="20"/>
              </w:rPr>
            </w:pPr>
            <w:r>
              <w:rPr>
                <w:spacing w:val="-2"/>
                <w:sz w:val="20"/>
              </w:rPr>
              <w:t>10,306</w:t>
            </w:r>
          </w:p>
        </w:tc>
        <w:tc>
          <w:tcPr>
            <w:tcW w:w="1229" w:type="dxa"/>
          </w:tcPr>
          <w:p>
            <w:pPr>
              <w:pStyle w:val="TableParagraph"/>
              <w:ind w:left="121"/>
              <w:rPr>
                <w:sz w:val="20"/>
              </w:rPr>
            </w:pPr>
            <w:r>
              <w:rPr>
                <w:spacing w:val="-2"/>
                <w:sz w:val="20"/>
              </w:rPr>
              <w:t>10,424</w:t>
            </w:r>
          </w:p>
        </w:tc>
        <w:tc>
          <w:tcPr>
            <w:tcW w:w="1229" w:type="dxa"/>
          </w:tcPr>
          <w:p>
            <w:pPr>
              <w:pStyle w:val="TableParagraph"/>
              <w:ind w:left="121"/>
              <w:rPr>
                <w:sz w:val="20"/>
              </w:rPr>
            </w:pPr>
            <w:r>
              <w:rPr>
                <w:spacing w:val="-2"/>
                <w:sz w:val="20"/>
              </w:rPr>
              <w:t>10,741</w:t>
            </w:r>
          </w:p>
        </w:tc>
        <w:tc>
          <w:tcPr>
            <w:tcW w:w="940" w:type="dxa"/>
          </w:tcPr>
          <w:p>
            <w:pPr>
              <w:pStyle w:val="TableParagraph"/>
              <w:ind w:left="122"/>
              <w:rPr>
                <w:sz w:val="20"/>
              </w:rPr>
            </w:pPr>
            <w:r>
              <w:rPr>
                <w:spacing w:val="-2"/>
                <w:sz w:val="20"/>
              </w:rPr>
              <w:t>+26.5%</w:t>
            </w:r>
          </w:p>
        </w:tc>
      </w:tr>
      <w:tr>
        <w:trPr>
          <w:trHeight w:val="350" w:hRule="atLeast"/>
        </w:trPr>
        <w:tc>
          <w:tcPr>
            <w:tcW w:w="3104" w:type="dxa"/>
          </w:tcPr>
          <w:p>
            <w:pPr>
              <w:pStyle w:val="TableParagraph"/>
              <w:rPr>
                <w:sz w:val="20"/>
              </w:rPr>
            </w:pPr>
            <w:r>
              <w:rPr>
                <w:sz w:val="20"/>
              </w:rPr>
              <w:t>WC as % of Segment </w:t>
            </w:r>
            <w:r>
              <w:rPr>
                <w:spacing w:val="-2"/>
                <w:sz w:val="20"/>
              </w:rPr>
              <w:t>Revenue</w:t>
            </w:r>
          </w:p>
        </w:tc>
        <w:tc>
          <w:tcPr>
            <w:tcW w:w="1229" w:type="dxa"/>
          </w:tcPr>
          <w:p>
            <w:pPr>
              <w:pStyle w:val="TableParagraph"/>
              <w:rPr>
                <w:sz w:val="20"/>
              </w:rPr>
            </w:pPr>
            <w:r>
              <w:rPr>
                <w:spacing w:val="-4"/>
                <w:sz w:val="20"/>
              </w:rPr>
              <w:t>9.0%</w:t>
            </w:r>
          </w:p>
        </w:tc>
        <w:tc>
          <w:tcPr>
            <w:tcW w:w="1229" w:type="dxa"/>
          </w:tcPr>
          <w:p>
            <w:pPr>
              <w:pStyle w:val="TableParagraph"/>
              <w:rPr>
                <w:sz w:val="20"/>
              </w:rPr>
            </w:pPr>
            <w:r>
              <w:rPr>
                <w:spacing w:val="-4"/>
                <w:sz w:val="20"/>
              </w:rPr>
              <w:t>8.6%</w:t>
            </w:r>
          </w:p>
        </w:tc>
        <w:tc>
          <w:tcPr>
            <w:tcW w:w="1229" w:type="dxa"/>
          </w:tcPr>
          <w:p>
            <w:pPr>
              <w:pStyle w:val="TableParagraph"/>
              <w:ind w:left="121"/>
              <w:rPr>
                <w:sz w:val="20"/>
              </w:rPr>
            </w:pPr>
            <w:r>
              <w:rPr>
                <w:spacing w:val="-4"/>
                <w:sz w:val="20"/>
              </w:rPr>
              <w:t>8.0%</w:t>
            </w:r>
          </w:p>
        </w:tc>
        <w:tc>
          <w:tcPr>
            <w:tcW w:w="1229" w:type="dxa"/>
          </w:tcPr>
          <w:p>
            <w:pPr>
              <w:pStyle w:val="TableParagraph"/>
              <w:ind w:left="121"/>
              <w:rPr>
                <w:sz w:val="20"/>
              </w:rPr>
            </w:pPr>
            <w:r>
              <w:rPr>
                <w:spacing w:val="-4"/>
                <w:sz w:val="20"/>
              </w:rPr>
              <w:t>7.0%</w:t>
            </w:r>
          </w:p>
        </w:tc>
        <w:tc>
          <w:tcPr>
            <w:tcW w:w="1229" w:type="dxa"/>
          </w:tcPr>
          <w:p>
            <w:pPr>
              <w:pStyle w:val="TableParagraph"/>
              <w:ind w:left="121"/>
              <w:rPr>
                <w:sz w:val="20"/>
              </w:rPr>
            </w:pPr>
            <w:r>
              <w:rPr>
                <w:spacing w:val="-4"/>
                <w:sz w:val="20"/>
              </w:rPr>
              <w:t>6.5%</w:t>
            </w:r>
          </w:p>
        </w:tc>
        <w:tc>
          <w:tcPr>
            <w:tcW w:w="940" w:type="dxa"/>
          </w:tcPr>
          <w:p>
            <w:pPr>
              <w:pStyle w:val="TableParagraph"/>
              <w:ind w:left="122"/>
              <w:rPr>
                <w:sz w:val="20"/>
              </w:rPr>
            </w:pPr>
            <w:r>
              <w:rPr>
                <w:sz w:val="20"/>
              </w:rPr>
              <w:t>-</w:t>
            </w:r>
            <w:r>
              <w:rPr>
                <w:spacing w:val="-4"/>
                <w:sz w:val="20"/>
              </w:rPr>
              <w:t>2.5%</w:t>
            </w:r>
          </w:p>
        </w:tc>
      </w:tr>
    </w:tbl>
    <w:p>
      <w:pPr>
        <w:pStyle w:val="TableParagraph"/>
        <w:spacing w:after="0"/>
        <w:rPr>
          <w:sz w:val="20"/>
        </w:rPr>
        <w:sectPr>
          <w:type w:val="continuous"/>
          <w:pgSz w:w="12240" w:h="15840"/>
          <w:pgMar w:top="1540" w:bottom="1579" w:left="1440" w:right="0"/>
        </w:sect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4"/>
        <w:gridCol w:w="1229"/>
        <w:gridCol w:w="1229"/>
        <w:gridCol w:w="1229"/>
        <w:gridCol w:w="1229"/>
        <w:gridCol w:w="1229"/>
        <w:gridCol w:w="940"/>
      </w:tblGrid>
      <w:tr>
        <w:trPr>
          <w:trHeight w:val="350" w:hRule="atLeast"/>
        </w:trPr>
        <w:tc>
          <w:tcPr>
            <w:tcW w:w="3104" w:type="dxa"/>
          </w:tcPr>
          <w:p>
            <w:pPr>
              <w:pStyle w:val="TableParagraph"/>
              <w:rPr>
                <w:sz w:val="20"/>
              </w:rPr>
            </w:pPr>
            <w:r>
              <w:rPr>
                <w:sz w:val="20"/>
              </w:rPr>
              <w:t>Inventory </w:t>
            </w:r>
            <w:r>
              <w:rPr>
                <w:spacing w:val="-4"/>
                <w:sz w:val="20"/>
              </w:rPr>
              <w:t>Days</w:t>
            </w:r>
          </w:p>
        </w:tc>
        <w:tc>
          <w:tcPr>
            <w:tcW w:w="1229" w:type="dxa"/>
          </w:tcPr>
          <w:p>
            <w:pPr>
              <w:pStyle w:val="TableParagraph"/>
              <w:rPr>
                <w:sz w:val="20"/>
              </w:rPr>
            </w:pPr>
            <w:r>
              <w:rPr>
                <w:spacing w:val="-4"/>
                <w:sz w:val="20"/>
              </w:rPr>
              <w:t>14.3</w:t>
            </w:r>
          </w:p>
        </w:tc>
        <w:tc>
          <w:tcPr>
            <w:tcW w:w="1229" w:type="dxa"/>
          </w:tcPr>
          <w:p>
            <w:pPr>
              <w:pStyle w:val="TableParagraph"/>
              <w:rPr>
                <w:sz w:val="20"/>
              </w:rPr>
            </w:pPr>
            <w:r>
              <w:rPr>
                <w:spacing w:val="-4"/>
                <w:sz w:val="20"/>
              </w:rPr>
              <w:t>13.2</w:t>
            </w:r>
          </w:p>
        </w:tc>
        <w:tc>
          <w:tcPr>
            <w:tcW w:w="1229" w:type="dxa"/>
          </w:tcPr>
          <w:p>
            <w:pPr>
              <w:pStyle w:val="TableParagraph"/>
              <w:ind w:left="121"/>
              <w:rPr>
                <w:sz w:val="20"/>
              </w:rPr>
            </w:pPr>
            <w:r>
              <w:rPr>
                <w:spacing w:val="-4"/>
                <w:sz w:val="20"/>
              </w:rPr>
              <w:t>12.1</w:t>
            </w:r>
          </w:p>
        </w:tc>
        <w:tc>
          <w:tcPr>
            <w:tcW w:w="1229" w:type="dxa"/>
          </w:tcPr>
          <w:p>
            <w:pPr>
              <w:pStyle w:val="TableParagraph"/>
              <w:ind w:left="121"/>
              <w:rPr>
                <w:sz w:val="20"/>
              </w:rPr>
            </w:pPr>
            <w:r>
              <w:rPr>
                <w:spacing w:val="-4"/>
                <w:sz w:val="20"/>
              </w:rPr>
              <w:t>11.5</w:t>
            </w:r>
          </w:p>
        </w:tc>
        <w:tc>
          <w:tcPr>
            <w:tcW w:w="1229" w:type="dxa"/>
          </w:tcPr>
          <w:p>
            <w:pPr>
              <w:pStyle w:val="TableParagraph"/>
              <w:ind w:left="121"/>
              <w:rPr>
                <w:sz w:val="20"/>
              </w:rPr>
            </w:pPr>
            <w:r>
              <w:rPr>
                <w:spacing w:val="-4"/>
                <w:sz w:val="20"/>
              </w:rPr>
              <w:t>10.8</w:t>
            </w:r>
          </w:p>
        </w:tc>
        <w:tc>
          <w:tcPr>
            <w:tcW w:w="940" w:type="dxa"/>
          </w:tcPr>
          <w:p>
            <w:pPr>
              <w:pStyle w:val="TableParagraph"/>
              <w:ind w:left="122"/>
              <w:rPr>
                <w:sz w:val="20"/>
              </w:rPr>
            </w:pPr>
            <w:r>
              <w:rPr>
                <w:sz w:val="20"/>
              </w:rPr>
              <w:t>-</w:t>
            </w:r>
            <w:r>
              <w:rPr>
                <w:spacing w:val="-5"/>
                <w:sz w:val="20"/>
              </w:rPr>
              <w:t>3.5</w:t>
            </w:r>
          </w:p>
        </w:tc>
      </w:tr>
      <w:tr>
        <w:trPr>
          <w:trHeight w:val="350" w:hRule="atLeast"/>
        </w:trPr>
        <w:tc>
          <w:tcPr>
            <w:tcW w:w="3104" w:type="dxa"/>
          </w:tcPr>
          <w:p>
            <w:pPr>
              <w:pStyle w:val="TableParagraph"/>
              <w:rPr>
                <w:sz w:val="20"/>
              </w:rPr>
            </w:pPr>
            <w:r>
              <w:rPr>
                <w:sz w:val="20"/>
              </w:rPr>
              <w:t>Receivables </w:t>
            </w:r>
            <w:r>
              <w:rPr>
                <w:spacing w:val="-4"/>
                <w:sz w:val="20"/>
              </w:rPr>
              <w:t>Days</w:t>
            </w:r>
          </w:p>
        </w:tc>
        <w:tc>
          <w:tcPr>
            <w:tcW w:w="1229" w:type="dxa"/>
          </w:tcPr>
          <w:p>
            <w:pPr>
              <w:pStyle w:val="TableParagraph"/>
              <w:rPr>
                <w:sz w:val="20"/>
              </w:rPr>
            </w:pPr>
            <w:r>
              <w:rPr>
                <w:spacing w:val="-4"/>
                <w:sz w:val="20"/>
              </w:rPr>
              <w:t>19.7</w:t>
            </w:r>
          </w:p>
        </w:tc>
        <w:tc>
          <w:tcPr>
            <w:tcW w:w="1229" w:type="dxa"/>
          </w:tcPr>
          <w:p>
            <w:pPr>
              <w:pStyle w:val="TableParagraph"/>
              <w:rPr>
                <w:sz w:val="20"/>
              </w:rPr>
            </w:pPr>
            <w:r>
              <w:rPr>
                <w:spacing w:val="-4"/>
                <w:sz w:val="20"/>
              </w:rPr>
              <w:t>18.5</w:t>
            </w:r>
          </w:p>
        </w:tc>
        <w:tc>
          <w:tcPr>
            <w:tcW w:w="1229" w:type="dxa"/>
          </w:tcPr>
          <w:p>
            <w:pPr>
              <w:pStyle w:val="TableParagraph"/>
              <w:ind w:left="121"/>
              <w:rPr>
                <w:sz w:val="20"/>
              </w:rPr>
            </w:pPr>
            <w:r>
              <w:rPr>
                <w:spacing w:val="-4"/>
                <w:sz w:val="20"/>
              </w:rPr>
              <w:t>17.2</w:t>
            </w:r>
          </w:p>
        </w:tc>
        <w:tc>
          <w:tcPr>
            <w:tcW w:w="1229" w:type="dxa"/>
          </w:tcPr>
          <w:p>
            <w:pPr>
              <w:pStyle w:val="TableParagraph"/>
              <w:ind w:left="121"/>
              <w:rPr>
                <w:sz w:val="20"/>
              </w:rPr>
            </w:pPr>
            <w:r>
              <w:rPr>
                <w:spacing w:val="-4"/>
                <w:sz w:val="20"/>
              </w:rPr>
              <w:t>15.3</w:t>
            </w:r>
          </w:p>
        </w:tc>
        <w:tc>
          <w:tcPr>
            <w:tcW w:w="1229" w:type="dxa"/>
          </w:tcPr>
          <w:p>
            <w:pPr>
              <w:pStyle w:val="TableParagraph"/>
              <w:ind w:left="121"/>
              <w:rPr>
                <w:sz w:val="20"/>
              </w:rPr>
            </w:pPr>
            <w:r>
              <w:rPr>
                <w:spacing w:val="-4"/>
                <w:sz w:val="20"/>
              </w:rPr>
              <w:t>13.9</w:t>
            </w:r>
          </w:p>
        </w:tc>
        <w:tc>
          <w:tcPr>
            <w:tcW w:w="940" w:type="dxa"/>
          </w:tcPr>
          <w:p>
            <w:pPr>
              <w:pStyle w:val="TableParagraph"/>
              <w:ind w:left="122"/>
              <w:rPr>
                <w:sz w:val="20"/>
              </w:rPr>
            </w:pPr>
            <w:r>
              <w:rPr>
                <w:sz w:val="20"/>
              </w:rPr>
              <w:t>-</w:t>
            </w:r>
            <w:r>
              <w:rPr>
                <w:spacing w:val="-5"/>
                <w:sz w:val="20"/>
              </w:rPr>
              <w:t>5.8</w:t>
            </w:r>
          </w:p>
        </w:tc>
      </w:tr>
      <w:tr>
        <w:trPr>
          <w:trHeight w:val="350" w:hRule="atLeast"/>
        </w:trPr>
        <w:tc>
          <w:tcPr>
            <w:tcW w:w="3104" w:type="dxa"/>
          </w:tcPr>
          <w:p>
            <w:pPr>
              <w:pStyle w:val="TableParagraph"/>
              <w:rPr>
                <w:sz w:val="20"/>
              </w:rPr>
            </w:pPr>
            <w:r>
              <w:rPr>
                <w:sz w:val="20"/>
              </w:rPr>
              <w:t>Payables </w:t>
            </w:r>
            <w:r>
              <w:rPr>
                <w:spacing w:val="-4"/>
                <w:sz w:val="20"/>
              </w:rPr>
              <w:t>Days</w:t>
            </w:r>
          </w:p>
        </w:tc>
        <w:tc>
          <w:tcPr>
            <w:tcW w:w="1229" w:type="dxa"/>
          </w:tcPr>
          <w:p>
            <w:pPr>
              <w:pStyle w:val="TableParagraph"/>
              <w:rPr>
                <w:sz w:val="20"/>
              </w:rPr>
            </w:pPr>
            <w:r>
              <w:rPr>
                <w:spacing w:val="-4"/>
                <w:sz w:val="20"/>
              </w:rPr>
              <w:t>53.4</w:t>
            </w:r>
          </w:p>
        </w:tc>
        <w:tc>
          <w:tcPr>
            <w:tcW w:w="1229" w:type="dxa"/>
          </w:tcPr>
          <w:p>
            <w:pPr>
              <w:pStyle w:val="TableParagraph"/>
              <w:rPr>
                <w:sz w:val="20"/>
              </w:rPr>
            </w:pPr>
            <w:r>
              <w:rPr>
                <w:spacing w:val="-4"/>
                <w:sz w:val="20"/>
              </w:rPr>
              <w:t>54.6</w:t>
            </w:r>
          </w:p>
        </w:tc>
        <w:tc>
          <w:tcPr>
            <w:tcW w:w="1229" w:type="dxa"/>
          </w:tcPr>
          <w:p>
            <w:pPr>
              <w:pStyle w:val="TableParagraph"/>
              <w:ind w:left="121"/>
              <w:rPr>
                <w:sz w:val="20"/>
              </w:rPr>
            </w:pPr>
            <w:r>
              <w:rPr>
                <w:spacing w:val="-4"/>
                <w:sz w:val="20"/>
              </w:rPr>
              <w:t>56.3</w:t>
            </w:r>
          </w:p>
        </w:tc>
        <w:tc>
          <w:tcPr>
            <w:tcW w:w="1229" w:type="dxa"/>
          </w:tcPr>
          <w:p>
            <w:pPr>
              <w:pStyle w:val="TableParagraph"/>
              <w:ind w:left="121"/>
              <w:rPr>
                <w:sz w:val="20"/>
              </w:rPr>
            </w:pPr>
            <w:r>
              <w:rPr>
                <w:spacing w:val="-4"/>
                <w:sz w:val="20"/>
              </w:rPr>
              <w:t>57.8</w:t>
            </w:r>
          </w:p>
        </w:tc>
        <w:tc>
          <w:tcPr>
            <w:tcW w:w="1229" w:type="dxa"/>
          </w:tcPr>
          <w:p>
            <w:pPr>
              <w:pStyle w:val="TableParagraph"/>
              <w:ind w:left="121"/>
              <w:rPr>
                <w:sz w:val="20"/>
              </w:rPr>
            </w:pPr>
            <w:r>
              <w:rPr>
                <w:spacing w:val="-4"/>
                <w:sz w:val="20"/>
              </w:rPr>
              <w:t>58.4</w:t>
            </w:r>
          </w:p>
        </w:tc>
        <w:tc>
          <w:tcPr>
            <w:tcW w:w="940" w:type="dxa"/>
          </w:tcPr>
          <w:p>
            <w:pPr>
              <w:pStyle w:val="TableParagraph"/>
              <w:ind w:left="122"/>
              <w:rPr>
                <w:sz w:val="20"/>
              </w:rPr>
            </w:pPr>
            <w:r>
              <w:rPr>
                <w:spacing w:val="-4"/>
                <w:sz w:val="20"/>
              </w:rPr>
              <w:t>+5.0</w:t>
            </w:r>
          </w:p>
        </w:tc>
      </w:tr>
      <w:tr>
        <w:trPr>
          <w:trHeight w:val="350" w:hRule="atLeast"/>
        </w:trPr>
        <w:tc>
          <w:tcPr>
            <w:tcW w:w="3104" w:type="dxa"/>
          </w:tcPr>
          <w:p>
            <w:pPr>
              <w:pStyle w:val="TableParagraph"/>
              <w:rPr>
                <w:sz w:val="20"/>
              </w:rPr>
            </w:pPr>
            <w:r>
              <w:rPr>
                <w:sz w:val="20"/>
              </w:rPr>
              <w:t>Cash Conversion Cycle </w:t>
            </w:r>
            <w:r>
              <w:rPr>
                <w:spacing w:val="-2"/>
                <w:sz w:val="20"/>
              </w:rPr>
              <w:t>(Days)</w:t>
            </w:r>
          </w:p>
        </w:tc>
        <w:tc>
          <w:tcPr>
            <w:tcW w:w="1229" w:type="dxa"/>
          </w:tcPr>
          <w:p>
            <w:pPr>
              <w:pStyle w:val="TableParagraph"/>
              <w:rPr>
                <w:sz w:val="20"/>
              </w:rPr>
            </w:pPr>
            <w:r>
              <w:rPr>
                <w:sz w:val="20"/>
              </w:rPr>
              <w:t>-</w:t>
            </w:r>
            <w:r>
              <w:rPr>
                <w:spacing w:val="-4"/>
                <w:sz w:val="20"/>
              </w:rPr>
              <w:t>19.4</w:t>
            </w:r>
          </w:p>
        </w:tc>
        <w:tc>
          <w:tcPr>
            <w:tcW w:w="1229" w:type="dxa"/>
          </w:tcPr>
          <w:p>
            <w:pPr>
              <w:pStyle w:val="TableParagraph"/>
              <w:rPr>
                <w:sz w:val="20"/>
              </w:rPr>
            </w:pPr>
            <w:r>
              <w:rPr>
                <w:sz w:val="20"/>
              </w:rPr>
              <w:t>-</w:t>
            </w:r>
            <w:r>
              <w:rPr>
                <w:spacing w:val="-4"/>
                <w:sz w:val="20"/>
              </w:rPr>
              <w:t>22.9</w:t>
            </w:r>
          </w:p>
        </w:tc>
        <w:tc>
          <w:tcPr>
            <w:tcW w:w="1229" w:type="dxa"/>
          </w:tcPr>
          <w:p>
            <w:pPr>
              <w:pStyle w:val="TableParagraph"/>
              <w:ind w:left="121"/>
              <w:rPr>
                <w:sz w:val="20"/>
              </w:rPr>
            </w:pPr>
            <w:r>
              <w:rPr>
                <w:sz w:val="20"/>
              </w:rPr>
              <w:t>-</w:t>
            </w:r>
            <w:r>
              <w:rPr>
                <w:spacing w:val="-4"/>
                <w:sz w:val="20"/>
              </w:rPr>
              <w:t>27.0</w:t>
            </w:r>
          </w:p>
        </w:tc>
        <w:tc>
          <w:tcPr>
            <w:tcW w:w="1229" w:type="dxa"/>
          </w:tcPr>
          <w:p>
            <w:pPr>
              <w:pStyle w:val="TableParagraph"/>
              <w:ind w:left="121"/>
              <w:rPr>
                <w:sz w:val="20"/>
              </w:rPr>
            </w:pPr>
            <w:r>
              <w:rPr>
                <w:sz w:val="20"/>
              </w:rPr>
              <w:t>-</w:t>
            </w:r>
            <w:r>
              <w:rPr>
                <w:spacing w:val="-4"/>
                <w:sz w:val="20"/>
              </w:rPr>
              <w:t>31.0</w:t>
            </w:r>
          </w:p>
        </w:tc>
        <w:tc>
          <w:tcPr>
            <w:tcW w:w="1229" w:type="dxa"/>
          </w:tcPr>
          <w:p>
            <w:pPr>
              <w:pStyle w:val="TableParagraph"/>
              <w:ind w:left="121"/>
              <w:rPr>
                <w:sz w:val="20"/>
              </w:rPr>
            </w:pPr>
            <w:r>
              <w:rPr>
                <w:sz w:val="20"/>
              </w:rPr>
              <w:t>-</w:t>
            </w:r>
            <w:r>
              <w:rPr>
                <w:spacing w:val="-4"/>
                <w:sz w:val="20"/>
              </w:rPr>
              <w:t>33.7</w:t>
            </w:r>
          </w:p>
        </w:tc>
        <w:tc>
          <w:tcPr>
            <w:tcW w:w="940" w:type="dxa"/>
          </w:tcPr>
          <w:p>
            <w:pPr>
              <w:pStyle w:val="TableParagraph"/>
              <w:ind w:left="122"/>
              <w:rPr>
                <w:sz w:val="20"/>
              </w:rPr>
            </w:pPr>
            <w:r>
              <w:rPr>
                <w:sz w:val="20"/>
              </w:rPr>
              <w:t>-</w:t>
            </w:r>
            <w:r>
              <w:rPr>
                <w:spacing w:val="-4"/>
                <w:sz w:val="20"/>
              </w:rPr>
              <w:t>14.3</w:t>
            </w:r>
          </w:p>
        </w:tc>
      </w:tr>
    </w:tbl>
    <w:p>
      <w:pPr>
        <w:pStyle w:val="BodyText"/>
        <w:spacing w:before="228"/>
        <w:rPr>
          <w:rFonts w:ascii="Arial"/>
          <w:b/>
        </w:rPr>
      </w:pPr>
    </w:p>
    <w:p>
      <w:pPr>
        <w:spacing w:before="1"/>
        <w:ind w:left="120" w:right="0" w:firstLine="0"/>
        <w:jc w:val="left"/>
        <w:rPr>
          <w:rFonts w:ascii="Arial"/>
          <w:i/>
          <w:sz w:val="24"/>
        </w:rPr>
      </w:pPr>
      <w:r>
        <w:rPr>
          <w:rFonts w:ascii="Arial"/>
          <w:i/>
          <w:sz w:val="24"/>
        </w:rPr>
        <w:t>Source: Calculated from RIL Segment Reporting, FY2020-21 to FY2024-</w:t>
      </w:r>
      <w:r>
        <w:rPr>
          <w:rFonts w:ascii="Arial"/>
          <w:i/>
          <w:spacing w:val="-5"/>
          <w:sz w:val="24"/>
        </w:rPr>
        <w:t>25</w:t>
      </w:r>
    </w:p>
    <w:p>
      <w:pPr>
        <w:pStyle w:val="BodyText"/>
        <w:spacing w:before="7"/>
        <w:rPr>
          <w:rFonts w:ascii="Arial"/>
          <w:i/>
        </w:rPr>
      </w:pPr>
    </w:p>
    <w:p>
      <w:pPr>
        <w:pStyle w:val="Heading4"/>
        <w:spacing w:before="1"/>
      </w:pPr>
      <w:r>
        <w:rPr/>
        <w:t>Key </w:t>
      </w:r>
      <w:r>
        <w:rPr>
          <w:spacing w:val="-2"/>
        </w:rPr>
        <w:t>Observations:</w:t>
      </w:r>
    </w:p>
    <w:p>
      <w:pPr>
        <w:pStyle w:val="BodyText"/>
        <w:spacing w:before="37"/>
        <w:rPr>
          <w:rFonts w:ascii="Arial"/>
          <w:b/>
        </w:rPr>
      </w:pPr>
    </w:p>
    <w:p>
      <w:pPr>
        <w:pStyle w:val="ListParagraph"/>
        <w:numPr>
          <w:ilvl w:val="0"/>
          <w:numId w:val="22"/>
        </w:numPr>
        <w:tabs>
          <w:tab w:pos="386" w:val="left" w:leader="none"/>
        </w:tabs>
        <w:spacing w:line="208" w:lineRule="auto" w:before="0" w:after="0"/>
        <w:ind w:left="120" w:right="1557" w:firstLine="0"/>
        <w:jc w:val="left"/>
        <w:rPr>
          <w:sz w:val="24"/>
        </w:rPr>
      </w:pPr>
      <w:r>
        <w:rPr>
          <w:rFonts w:ascii="Arial"/>
          <w:b/>
          <w:sz w:val="24"/>
        </w:rPr>
        <w:t>Negative Working Capital Model: </w:t>
      </w:r>
      <w:r>
        <w:rPr>
          <w:sz w:val="24"/>
        </w:rPr>
        <w:t>The Digital Services segment operates with a negative cash conversion cycle, meaning that it receives payment from customers before</w:t>
      </w:r>
      <w:r>
        <w:rPr>
          <w:spacing w:val="-6"/>
          <w:sz w:val="24"/>
        </w:rPr>
        <w:t> </w:t>
      </w:r>
      <w:r>
        <w:rPr>
          <w:sz w:val="24"/>
        </w:rPr>
        <w:t>paying</w:t>
      </w:r>
      <w:r>
        <w:rPr>
          <w:spacing w:val="-6"/>
          <w:sz w:val="24"/>
        </w:rPr>
        <w:t> </w:t>
      </w:r>
      <w:r>
        <w:rPr>
          <w:sz w:val="24"/>
        </w:rPr>
        <w:t>suppliers.</w:t>
      </w:r>
      <w:r>
        <w:rPr>
          <w:spacing w:val="-6"/>
          <w:sz w:val="24"/>
        </w:rPr>
        <w:t> </w:t>
      </w:r>
      <w:r>
        <w:rPr>
          <w:sz w:val="24"/>
        </w:rPr>
        <w:t>This</w:t>
      </w:r>
      <w:r>
        <w:rPr>
          <w:spacing w:val="-6"/>
          <w:sz w:val="24"/>
        </w:rPr>
        <w:t> </w:t>
      </w:r>
      <w:r>
        <w:rPr>
          <w:sz w:val="24"/>
        </w:rPr>
        <w:t>favorable</w:t>
      </w:r>
      <w:r>
        <w:rPr>
          <w:spacing w:val="-6"/>
          <w:sz w:val="24"/>
        </w:rPr>
        <w:t> </w:t>
      </w:r>
      <w:r>
        <w:rPr>
          <w:sz w:val="24"/>
        </w:rPr>
        <w:t>working</w:t>
      </w:r>
      <w:r>
        <w:rPr>
          <w:spacing w:val="-6"/>
          <w:sz w:val="24"/>
        </w:rPr>
        <w:t> </w:t>
      </w:r>
      <w:r>
        <w:rPr>
          <w:sz w:val="24"/>
        </w:rPr>
        <w:t>capital</w:t>
      </w:r>
      <w:r>
        <w:rPr>
          <w:spacing w:val="-6"/>
          <w:sz w:val="24"/>
        </w:rPr>
        <w:t> </w:t>
      </w:r>
      <w:r>
        <w:rPr>
          <w:sz w:val="24"/>
        </w:rPr>
        <w:t>structure</w:t>
      </w:r>
      <w:r>
        <w:rPr>
          <w:spacing w:val="-6"/>
          <w:sz w:val="24"/>
        </w:rPr>
        <w:t> </w:t>
      </w:r>
      <w:r>
        <w:rPr>
          <w:sz w:val="24"/>
        </w:rPr>
        <w:t>improved</w:t>
      </w:r>
      <w:r>
        <w:rPr>
          <w:spacing w:val="-6"/>
          <w:sz w:val="24"/>
        </w:rPr>
        <w:t> </w:t>
      </w:r>
      <w:r>
        <w:rPr>
          <w:sz w:val="24"/>
        </w:rPr>
        <w:t>further</w:t>
      </w:r>
      <w:r>
        <w:rPr>
          <w:spacing w:val="-6"/>
          <w:sz w:val="24"/>
        </w:rPr>
        <w:t> </w:t>
      </w:r>
      <w:r>
        <w:rPr>
          <w:sz w:val="24"/>
        </w:rPr>
        <w:t>from</w:t>
      </w:r>
    </w:p>
    <w:p>
      <w:pPr>
        <w:pStyle w:val="BodyText"/>
        <w:spacing w:line="246" w:lineRule="exact" w:before="0"/>
        <w:ind w:left="120"/>
      </w:pPr>
      <w:r>
        <w:rPr/>
        <w:t>-19.4 days to -33.7 days over the study </w:t>
      </w:r>
      <w:r>
        <w:rPr>
          <w:spacing w:val="-2"/>
        </w:rPr>
        <w:t>period.</w:t>
      </w:r>
    </w:p>
    <w:p>
      <w:pPr>
        <w:pStyle w:val="BodyText"/>
        <w:spacing w:before="37"/>
      </w:pPr>
    </w:p>
    <w:p>
      <w:pPr>
        <w:pStyle w:val="ListParagraph"/>
        <w:numPr>
          <w:ilvl w:val="0"/>
          <w:numId w:val="22"/>
        </w:numPr>
        <w:tabs>
          <w:tab w:pos="386" w:val="left" w:leader="none"/>
        </w:tabs>
        <w:spacing w:line="208" w:lineRule="auto" w:before="0" w:after="0"/>
        <w:ind w:left="120" w:right="1600" w:firstLine="0"/>
        <w:jc w:val="both"/>
        <w:rPr>
          <w:sz w:val="24"/>
        </w:rPr>
      </w:pPr>
      <w:r>
        <w:rPr>
          <w:rFonts w:ascii="Arial"/>
          <w:b/>
          <w:sz w:val="24"/>
        </w:rPr>
        <w:t>Working</w:t>
      </w:r>
      <w:r>
        <w:rPr>
          <w:rFonts w:ascii="Arial"/>
          <w:b/>
          <w:spacing w:val="-2"/>
          <w:sz w:val="24"/>
        </w:rPr>
        <w:t> </w:t>
      </w:r>
      <w:r>
        <w:rPr>
          <w:rFonts w:ascii="Arial"/>
          <w:b/>
          <w:sz w:val="24"/>
        </w:rPr>
        <w:t>Capital</w:t>
      </w:r>
      <w:r>
        <w:rPr>
          <w:rFonts w:ascii="Arial"/>
          <w:b/>
          <w:spacing w:val="-2"/>
          <w:sz w:val="24"/>
        </w:rPr>
        <w:t> </w:t>
      </w:r>
      <w:r>
        <w:rPr>
          <w:rFonts w:ascii="Arial"/>
          <w:b/>
          <w:sz w:val="24"/>
        </w:rPr>
        <w:t>Efficiency:</w:t>
      </w:r>
      <w:r>
        <w:rPr>
          <w:rFonts w:ascii="Arial"/>
          <w:b/>
          <w:spacing w:val="-2"/>
          <w:sz w:val="24"/>
        </w:rPr>
        <w:t> </w:t>
      </w:r>
      <w:r>
        <w:rPr>
          <w:sz w:val="24"/>
        </w:rPr>
        <w:t>Working</w:t>
      </w:r>
      <w:r>
        <w:rPr>
          <w:spacing w:val="-2"/>
          <w:sz w:val="24"/>
        </w:rPr>
        <w:t> </w:t>
      </w:r>
      <w:r>
        <w:rPr>
          <w:sz w:val="24"/>
        </w:rPr>
        <w:t>capital</w:t>
      </w:r>
      <w:r>
        <w:rPr>
          <w:spacing w:val="-2"/>
          <w:sz w:val="24"/>
        </w:rPr>
        <w:t> </w:t>
      </w:r>
      <w:r>
        <w:rPr>
          <w:sz w:val="24"/>
        </w:rPr>
        <w:t>as</w:t>
      </w:r>
      <w:r>
        <w:rPr>
          <w:spacing w:val="-2"/>
          <w:sz w:val="24"/>
        </w:rPr>
        <w:t> </w:t>
      </w:r>
      <w:r>
        <w:rPr>
          <w:sz w:val="24"/>
        </w:rPr>
        <w:t>a</w:t>
      </w:r>
      <w:r>
        <w:rPr>
          <w:spacing w:val="-2"/>
          <w:sz w:val="24"/>
        </w:rPr>
        <w:t> </w:t>
      </w:r>
      <w:r>
        <w:rPr>
          <w:sz w:val="24"/>
        </w:rPr>
        <w:t>percentage</w:t>
      </w:r>
      <w:r>
        <w:rPr>
          <w:spacing w:val="-2"/>
          <w:sz w:val="24"/>
        </w:rPr>
        <w:t> </w:t>
      </w:r>
      <w:r>
        <w:rPr>
          <w:sz w:val="24"/>
        </w:rPr>
        <w:t>of</w:t>
      </w:r>
      <w:r>
        <w:rPr>
          <w:spacing w:val="-2"/>
          <w:sz w:val="24"/>
        </w:rPr>
        <w:t> </w:t>
      </w:r>
      <w:r>
        <w:rPr>
          <w:sz w:val="24"/>
        </w:rPr>
        <w:t>segment</w:t>
      </w:r>
      <w:r>
        <w:rPr>
          <w:spacing w:val="-2"/>
          <w:sz w:val="24"/>
        </w:rPr>
        <w:t> </w:t>
      </w:r>
      <w:r>
        <w:rPr>
          <w:sz w:val="24"/>
        </w:rPr>
        <w:t>revenue decreased</w:t>
      </w:r>
      <w:r>
        <w:rPr>
          <w:spacing w:val="-4"/>
          <w:sz w:val="24"/>
        </w:rPr>
        <w:t> </w:t>
      </w:r>
      <w:r>
        <w:rPr>
          <w:sz w:val="24"/>
        </w:rPr>
        <w:t>from</w:t>
      </w:r>
      <w:r>
        <w:rPr>
          <w:spacing w:val="-4"/>
          <w:sz w:val="24"/>
        </w:rPr>
        <w:t> </w:t>
      </w:r>
      <w:r>
        <w:rPr>
          <w:sz w:val="24"/>
        </w:rPr>
        <w:t>9.0%</w:t>
      </w:r>
      <w:r>
        <w:rPr>
          <w:spacing w:val="-4"/>
          <w:sz w:val="24"/>
        </w:rPr>
        <w:t> </w:t>
      </w:r>
      <w:r>
        <w:rPr>
          <w:sz w:val="24"/>
        </w:rPr>
        <w:t>to</w:t>
      </w:r>
      <w:r>
        <w:rPr>
          <w:spacing w:val="-4"/>
          <w:sz w:val="24"/>
        </w:rPr>
        <w:t> </w:t>
      </w:r>
      <w:r>
        <w:rPr>
          <w:sz w:val="24"/>
        </w:rPr>
        <w:t>6.5%,</w:t>
      </w:r>
      <w:r>
        <w:rPr>
          <w:spacing w:val="-4"/>
          <w:sz w:val="24"/>
        </w:rPr>
        <w:t> </w:t>
      </w:r>
      <w:r>
        <w:rPr>
          <w:sz w:val="24"/>
        </w:rPr>
        <w:t>highlighting</w:t>
      </w:r>
      <w:r>
        <w:rPr>
          <w:spacing w:val="-4"/>
          <w:sz w:val="24"/>
        </w:rPr>
        <w:t> </w:t>
      </w:r>
      <w:r>
        <w:rPr>
          <w:sz w:val="24"/>
        </w:rPr>
        <w:t>the</w:t>
      </w:r>
      <w:r>
        <w:rPr>
          <w:spacing w:val="-4"/>
          <w:sz w:val="24"/>
        </w:rPr>
        <w:t> </w:t>
      </w:r>
      <w:r>
        <w:rPr>
          <w:sz w:val="24"/>
        </w:rPr>
        <w:t>segment's</w:t>
      </w:r>
      <w:r>
        <w:rPr>
          <w:spacing w:val="-4"/>
          <w:sz w:val="24"/>
        </w:rPr>
        <w:t> </w:t>
      </w:r>
      <w:r>
        <w:rPr>
          <w:sz w:val="24"/>
        </w:rPr>
        <w:t>improving</w:t>
      </w:r>
      <w:r>
        <w:rPr>
          <w:spacing w:val="-4"/>
          <w:sz w:val="24"/>
        </w:rPr>
        <w:t> </w:t>
      </w:r>
      <w:r>
        <w:rPr>
          <w:sz w:val="24"/>
        </w:rPr>
        <w:t>efficiency</w:t>
      </w:r>
      <w:r>
        <w:rPr>
          <w:spacing w:val="-4"/>
          <w:sz w:val="24"/>
        </w:rPr>
        <w:t> </w:t>
      </w:r>
      <w:r>
        <w:rPr>
          <w:sz w:val="24"/>
        </w:rPr>
        <w:t>despite rapid growth.</w:t>
      </w:r>
    </w:p>
    <w:p>
      <w:pPr>
        <w:pStyle w:val="BodyText"/>
        <w:spacing w:before="44"/>
      </w:pPr>
    </w:p>
    <w:p>
      <w:pPr>
        <w:pStyle w:val="ListParagraph"/>
        <w:numPr>
          <w:ilvl w:val="0"/>
          <w:numId w:val="22"/>
        </w:numPr>
        <w:tabs>
          <w:tab w:pos="386" w:val="left" w:leader="none"/>
        </w:tabs>
        <w:spacing w:line="208" w:lineRule="auto" w:before="0" w:after="0"/>
        <w:ind w:left="120" w:right="1620" w:firstLine="0"/>
        <w:jc w:val="left"/>
        <w:rPr>
          <w:sz w:val="24"/>
        </w:rPr>
      </w:pPr>
      <w:r>
        <w:rPr>
          <w:rFonts w:ascii="Arial"/>
          <w:b/>
          <w:sz w:val="24"/>
        </w:rPr>
        <w:t>Subscription Revenue Impact: </w:t>
      </w:r>
      <w:r>
        <w:rPr>
          <w:sz w:val="24"/>
        </w:rPr>
        <w:t>The prepaid subscription model for telecommunications</w:t>
      </w:r>
      <w:r>
        <w:rPr>
          <w:spacing w:val="-5"/>
          <w:sz w:val="24"/>
        </w:rPr>
        <w:t> </w:t>
      </w:r>
      <w:r>
        <w:rPr>
          <w:sz w:val="24"/>
        </w:rPr>
        <w:t>services</w:t>
      </w:r>
      <w:r>
        <w:rPr>
          <w:spacing w:val="-5"/>
          <w:sz w:val="24"/>
        </w:rPr>
        <w:t> </w:t>
      </w:r>
      <w:r>
        <w:rPr>
          <w:sz w:val="24"/>
        </w:rPr>
        <w:t>contributes</w:t>
      </w:r>
      <w:r>
        <w:rPr>
          <w:spacing w:val="-5"/>
          <w:sz w:val="24"/>
        </w:rPr>
        <w:t> </w:t>
      </w:r>
      <w:r>
        <w:rPr>
          <w:sz w:val="24"/>
        </w:rPr>
        <w:t>significantly</w:t>
      </w:r>
      <w:r>
        <w:rPr>
          <w:spacing w:val="-5"/>
          <w:sz w:val="24"/>
        </w:rPr>
        <w:t> </w:t>
      </w:r>
      <w:r>
        <w:rPr>
          <w:sz w:val="24"/>
        </w:rPr>
        <w:t>to</w:t>
      </w:r>
      <w:r>
        <w:rPr>
          <w:spacing w:val="-5"/>
          <w:sz w:val="24"/>
        </w:rPr>
        <w:t> </w:t>
      </w:r>
      <w:r>
        <w:rPr>
          <w:sz w:val="24"/>
        </w:rPr>
        <w:t>the</w:t>
      </w:r>
      <w:r>
        <w:rPr>
          <w:spacing w:val="-5"/>
          <w:sz w:val="24"/>
        </w:rPr>
        <w:t> </w:t>
      </w:r>
      <w:r>
        <w:rPr>
          <w:sz w:val="24"/>
        </w:rPr>
        <w:t>negative</w:t>
      </w:r>
      <w:r>
        <w:rPr>
          <w:spacing w:val="-5"/>
          <w:sz w:val="24"/>
        </w:rPr>
        <w:t> </w:t>
      </w:r>
      <w:r>
        <w:rPr>
          <w:sz w:val="24"/>
        </w:rPr>
        <w:t>cash</w:t>
      </w:r>
      <w:r>
        <w:rPr>
          <w:spacing w:val="-5"/>
          <w:sz w:val="24"/>
        </w:rPr>
        <w:t> </w:t>
      </w:r>
      <w:r>
        <w:rPr>
          <w:sz w:val="24"/>
        </w:rPr>
        <w:t>conversion cycle, providing advance cash flows that fund operations.</w:t>
      </w:r>
    </w:p>
    <w:p>
      <w:pPr>
        <w:pStyle w:val="BodyText"/>
        <w:spacing w:before="44"/>
      </w:pPr>
    </w:p>
    <w:p>
      <w:pPr>
        <w:pStyle w:val="ListParagraph"/>
        <w:numPr>
          <w:ilvl w:val="0"/>
          <w:numId w:val="22"/>
        </w:numPr>
        <w:tabs>
          <w:tab w:pos="386" w:val="left" w:leader="none"/>
        </w:tabs>
        <w:spacing w:line="208" w:lineRule="auto" w:before="0" w:after="0"/>
        <w:ind w:left="120" w:right="1773" w:firstLine="0"/>
        <w:jc w:val="left"/>
        <w:rPr>
          <w:sz w:val="24"/>
        </w:rPr>
      </w:pPr>
      <w:r>
        <w:rPr>
          <w:rFonts w:ascii="Arial"/>
          <w:b/>
          <w:sz w:val="24"/>
        </w:rPr>
        <w:t>Payables Leverage: </w:t>
      </w:r>
      <w:r>
        <w:rPr>
          <w:sz w:val="24"/>
        </w:rPr>
        <w:t>The segment has successfully extended days payables outstanding</w:t>
      </w:r>
      <w:r>
        <w:rPr>
          <w:spacing w:val="-4"/>
          <w:sz w:val="24"/>
        </w:rPr>
        <w:t> </w:t>
      </w:r>
      <w:r>
        <w:rPr>
          <w:sz w:val="24"/>
        </w:rPr>
        <w:t>from</w:t>
      </w:r>
      <w:r>
        <w:rPr>
          <w:spacing w:val="-4"/>
          <w:sz w:val="24"/>
        </w:rPr>
        <w:t> </w:t>
      </w:r>
      <w:r>
        <w:rPr>
          <w:sz w:val="24"/>
        </w:rPr>
        <w:t>53.4</w:t>
      </w:r>
      <w:r>
        <w:rPr>
          <w:spacing w:val="-4"/>
          <w:sz w:val="24"/>
        </w:rPr>
        <w:t> </w:t>
      </w:r>
      <w:r>
        <w:rPr>
          <w:sz w:val="24"/>
        </w:rPr>
        <w:t>to</w:t>
      </w:r>
      <w:r>
        <w:rPr>
          <w:spacing w:val="-4"/>
          <w:sz w:val="24"/>
        </w:rPr>
        <w:t> </w:t>
      </w:r>
      <w:r>
        <w:rPr>
          <w:sz w:val="24"/>
        </w:rPr>
        <w:t>58.4</w:t>
      </w:r>
      <w:r>
        <w:rPr>
          <w:spacing w:val="-4"/>
          <w:sz w:val="24"/>
        </w:rPr>
        <w:t> </w:t>
      </w:r>
      <w:r>
        <w:rPr>
          <w:sz w:val="24"/>
        </w:rPr>
        <w:t>days,</w:t>
      </w:r>
      <w:r>
        <w:rPr>
          <w:spacing w:val="-4"/>
          <w:sz w:val="24"/>
        </w:rPr>
        <w:t> </w:t>
      </w:r>
      <w:r>
        <w:rPr>
          <w:sz w:val="24"/>
        </w:rPr>
        <w:t>leveraging</w:t>
      </w:r>
      <w:r>
        <w:rPr>
          <w:spacing w:val="-4"/>
          <w:sz w:val="24"/>
        </w:rPr>
        <w:t> </w:t>
      </w:r>
      <w:r>
        <w:rPr>
          <w:sz w:val="24"/>
        </w:rPr>
        <w:t>RIL's</w:t>
      </w:r>
      <w:r>
        <w:rPr>
          <w:spacing w:val="-4"/>
          <w:sz w:val="24"/>
        </w:rPr>
        <w:t> </w:t>
      </w:r>
      <w:r>
        <w:rPr>
          <w:sz w:val="24"/>
        </w:rPr>
        <w:t>strong</w:t>
      </w:r>
      <w:r>
        <w:rPr>
          <w:spacing w:val="-4"/>
          <w:sz w:val="24"/>
        </w:rPr>
        <w:t> </w:t>
      </w:r>
      <w:r>
        <w:rPr>
          <w:sz w:val="24"/>
        </w:rPr>
        <w:t>negotiating</w:t>
      </w:r>
      <w:r>
        <w:rPr>
          <w:spacing w:val="-4"/>
          <w:sz w:val="24"/>
        </w:rPr>
        <w:t> </w:t>
      </w:r>
      <w:r>
        <w:rPr>
          <w:sz w:val="24"/>
        </w:rPr>
        <w:t>position</w:t>
      </w:r>
      <w:r>
        <w:rPr>
          <w:spacing w:val="-4"/>
          <w:sz w:val="24"/>
        </w:rPr>
        <w:t> </w:t>
      </w:r>
      <w:r>
        <w:rPr>
          <w:sz w:val="24"/>
        </w:rPr>
        <w:t>with technology and infrastructure vendors.</w:t>
      </w:r>
    </w:p>
    <w:p>
      <w:pPr>
        <w:pStyle w:val="BodyText"/>
        <w:spacing w:before="43"/>
      </w:pPr>
    </w:p>
    <w:p>
      <w:pPr>
        <w:pStyle w:val="ListParagraph"/>
        <w:numPr>
          <w:ilvl w:val="0"/>
          <w:numId w:val="22"/>
        </w:numPr>
        <w:tabs>
          <w:tab w:pos="386" w:val="left" w:leader="none"/>
        </w:tabs>
        <w:spacing w:line="208" w:lineRule="auto" w:before="0" w:after="0"/>
        <w:ind w:left="120" w:right="1688" w:firstLine="0"/>
        <w:jc w:val="left"/>
        <w:rPr>
          <w:sz w:val="24"/>
        </w:rPr>
      </w:pPr>
      <w:r>
        <w:rPr>
          <w:rFonts w:ascii="Arial"/>
          <w:b/>
          <w:sz w:val="24"/>
        </w:rPr>
        <w:t>Limited</w:t>
      </w:r>
      <w:r>
        <w:rPr>
          <w:rFonts w:ascii="Arial"/>
          <w:b/>
          <w:spacing w:val="-6"/>
          <w:sz w:val="24"/>
        </w:rPr>
        <w:t> </w:t>
      </w:r>
      <w:r>
        <w:rPr>
          <w:rFonts w:ascii="Arial"/>
          <w:b/>
          <w:sz w:val="24"/>
        </w:rPr>
        <w:t>Inventory</w:t>
      </w:r>
      <w:r>
        <w:rPr>
          <w:rFonts w:ascii="Arial"/>
          <w:b/>
          <w:spacing w:val="-6"/>
          <w:sz w:val="24"/>
        </w:rPr>
        <w:t> </w:t>
      </w:r>
      <w:r>
        <w:rPr>
          <w:rFonts w:ascii="Arial"/>
          <w:b/>
          <w:sz w:val="24"/>
        </w:rPr>
        <w:t>Requirements:</w:t>
      </w:r>
      <w:r>
        <w:rPr>
          <w:rFonts w:ascii="Arial"/>
          <w:b/>
          <w:spacing w:val="-6"/>
          <w:sz w:val="24"/>
        </w:rPr>
        <w:t> </w:t>
      </w:r>
      <w:r>
        <w:rPr>
          <w:sz w:val="24"/>
        </w:rPr>
        <w:t>As</w:t>
      </w:r>
      <w:r>
        <w:rPr>
          <w:spacing w:val="-6"/>
          <w:sz w:val="24"/>
        </w:rPr>
        <w:t> </w:t>
      </w:r>
      <w:r>
        <w:rPr>
          <w:sz w:val="24"/>
        </w:rPr>
        <w:t>a</w:t>
      </w:r>
      <w:r>
        <w:rPr>
          <w:spacing w:val="-6"/>
          <w:sz w:val="24"/>
        </w:rPr>
        <w:t> </w:t>
      </w:r>
      <w:r>
        <w:rPr>
          <w:sz w:val="24"/>
        </w:rPr>
        <w:t>predominantly</w:t>
      </w:r>
      <w:r>
        <w:rPr>
          <w:spacing w:val="-6"/>
          <w:sz w:val="24"/>
        </w:rPr>
        <w:t> </w:t>
      </w:r>
      <w:r>
        <w:rPr>
          <w:sz w:val="24"/>
        </w:rPr>
        <w:t>service-oriented</w:t>
      </w:r>
      <w:r>
        <w:rPr>
          <w:spacing w:val="-6"/>
          <w:sz w:val="24"/>
        </w:rPr>
        <w:t> </w:t>
      </w:r>
      <w:r>
        <w:rPr>
          <w:sz w:val="24"/>
        </w:rPr>
        <w:t>business, the Digital Services segment maintains minimal inventory (primarily handsets and networking equipment), with inventory days decreasing from 14.3 to 10.8 days.</w:t>
      </w:r>
    </w:p>
    <w:p>
      <w:pPr>
        <w:pStyle w:val="BodyText"/>
        <w:spacing w:before="100"/>
      </w:pPr>
    </w:p>
    <w:p>
      <w:pPr>
        <w:pStyle w:val="Heading2"/>
        <w:numPr>
          <w:ilvl w:val="1"/>
          <w:numId w:val="3"/>
        </w:numPr>
        <w:tabs>
          <w:tab w:pos="653" w:val="left" w:leader="none"/>
        </w:tabs>
        <w:spacing w:line="240" w:lineRule="auto" w:before="0" w:after="0"/>
        <w:ind w:left="653" w:right="0" w:hanging="533"/>
        <w:jc w:val="both"/>
      </w:pPr>
      <w:r>
        <w:rPr/>
        <w:t>Comparative Analysis with Industry </w:t>
      </w:r>
      <w:r>
        <w:rPr>
          <w:spacing w:val="-2"/>
        </w:rPr>
        <w:t>Peers</w:t>
      </w:r>
    </w:p>
    <w:p>
      <w:pPr>
        <w:pStyle w:val="BodyText"/>
        <w:spacing w:before="8"/>
        <w:rPr>
          <w:rFonts w:ascii="Arial"/>
          <w:b/>
          <w:sz w:val="32"/>
        </w:rPr>
      </w:pPr>
    </w:p>
    <w:p>
      <w:pPr>
        <w:pStyle w:val="BodyText"/>
        <w:spacing w:line="208" w:lineRule="auto" w:before="0"/>
        <w:ind w:left="120" w:right="1633"/>
      </w:pPr>
      <w:r>
        <w:rPr/>
        <w:t>This</w:t>
      </w:r>
      <w:r>
        <w:rPr>
          <w:spacing w:val="-5"/>
        </w:rPr>
        <w:t> </w:t>
      </w:r>
      <w:r>
        <w:rPr/>
        <w:t>section</w:t>
      </w:r>
      <w:r>
        <w:rPr>
          <w:spacing w:val="-5"/>
        </w:rPr>
        <w:t> </w:t>
      </w:r>
      <w:r>
        <w:rPr/>
        <w:t>benchmarks</w:t>
      </w:r>
      <w:r>
        <w:rPr>
          <w:spacing w:val="-5"/>
        </w:rPr>
        <w:t> </w:t>
      </w:r>
      <w:r>
        <w:rPr/>
        <w:t>RIL's</w:t>
      </w:r>
      <w:r>
        <w:rPr>
          <w:spacing w:val="-5"/>
        </w:rPr>
        <w:t> </w:t>
      </w:r>
      <w:r>
        <w:rPr/>
        <w:t>working</w:t>
      </w:r>
      <w:r>
        <w:rPr>
          <w:spacing w:val="-5"/>
        </w:rPr>
        <w:t> </w:t>
      </w:r>
      <w:r>
        <w:rPr/>
        <w:t>capital</w:t>
      </w:r>
      <w:r>
        <w:rPr>
          <w:spacing w:val="-5"/>
        </w:rPr>
        <w:t> </w:t>
      </w:r>
      <w:r>
        <w:rPr/>
        <w:t>management</w:t>
      </w:r>
      <w:r>
        <w:rPr>
          <w:spacing w:val="-5"/>
        </w:rPr>
        <w:t> </w:t>
      </w:r>
      <w:r>
        <w:rPr/>
        <w:t>against</w:t>
      </w:r>
      <w:r>
        <w:rPr>
          <w:spacing w:val="-5"/>
        </w:rPr>
        <w:t> </w:t>
      </w:r>
      <w:r>
        <w:rPr/>
        <w:t>industry</w:t>
      </w:r>
      <w:r>
        <w:rPr>
          <w:spacing w:val="-5"/>
        </w:rPr>
        <w:t> </w:t>
      </w:r>
      <w:r>
        <w:rPr/>
        <w:t>peers across relevant sectors.</w:t>
      </w:r>
    </w:p>
    <w:p>
      <w:pPr>
        <w:pStyle w:val="BodyText"/>
        <w:spacing w:before="57"/>
      </w:pPr>
    </w:p>
    <w:p>
      <w:pPr>
        <w:pStyle w:val="Heading3"/>
        <w:numPr>
          <w:ilvl w:val="2"/>
          <w:numId w:val="3"/>
        </w:numPr>
        <w:tabs>
          <w:tab w:pos="820" w:val="left" w:leader="none"/>
        </w:tabs>
        <w:spacing w:line="240" w:lineRule="auto" w:before="0" w:after="0"/>
        <w:ind w:left="820" w:right="0" w:hanging="700"/>
        <w:jc w:val="both"/>
      </w:pPr>
      <w:r>
        <w:rPr/>
        <w:t>Comparison with Indian </w:t>
      </w:r>
      <w:r>
        <w:rPr>
          <w:spacing w:val="-2"/>
        </w:rPr>
        <w:t>Conglomerates</w:t>
      </w:r>
    </w:p>
    <w:p>
      <w:pPr>
        <w:pStyle w:val="BodyText"/>
        <w:spacing w:line="208" w:lineRule="auto" w:before="305"/>
        <w:ind w:left="120" w:right="1633"/>
      </w:pPr>
      <w:r>
        <w:rPr/>
        <w:t>Table</w:t>
      </w:r>
      <w:r>
        <w:rPr>
          <w:spacing w:val="-4"/>
        </w:rPr>
        <w:t> </w:t>
      </w:r>
      <w:r>
        <w:rPr/>
        <w:t>5.10</w:t>
      </w:r>
      <w:r>
        <w:rPr>
          <w:spacing w:val="-4"/>
        </w:rPr>
        <w:t> </w:t>
      </w:r>
      <w:r>
        <w:rPr/>
        <w:t>compares</w:t>
      </w:r>
      <w:r>
        <w:rPr>
          <w:spacing w:val="-4"/>
        </w:rPr>
        <w:t> </w:t>
      </w:r>
      <w:r>
        <w:rPr/>
        <w:t>RIL's</w:t>
      </w:r>
      <w:r>
        <w:rPr>
          <w:spacing w:val="-4"/>
        </w:rPr>
        <w:t> </w:t>
      </w:r>
      <w:r>
        <w:rPr/>
        <w:t>working</w:t>
      </w:r>
      <w:r>
        <w:rPr>
          <w:spacing w:val="-4"/>
        </w:rPr>
        <w:t> </w:t>
      </w:r>
      <w:r>
        <w:rPr/>
        <w:t>capital</w:t>
      </w:r>
      <w:r>
        <w:rPr>
          <w:spacing w:val="-4"/>
        </w:rPr>
        <w:t> </w:t>
      </w:r>
      <w:r>
        <w:rPr/>
        <w:t>metrics</w:t>
      </w:r>
      <w:r>
        <w:rPr>
          <w:spacing w:val="-4"/>
        </w:rPr>
        <w:t> </w:t>
      </w:r>
      <w:r>
        <w:rPr/>
        <w:t>with</w:t>
      </w:r>
      <w:r>
        <w:rPr>
          <w:spacing w:val="-4"/>
        </w:rPr>
        <w:t> </w:t>
      </w:r>
      <w:r>
        <w:rPr/>
        <w:t>other</w:t>
      </w:r>
      <w:r>
        <w:rPr>
          <w:spacing w:val="-4"/>
        </w:rPr>
        <w:t> </w:t>
      </w:r>
      <w:r>
        <w:rPr/>
        <w:t>major</w:t>
      </w:r>
      <w:r>
        <w:rPr>
          <w:spacing w:val="-4"/>
        </w:rPr>
        <w:t> </w:t>
      </w:r>
      <w:r>
        <w:rPr/>
        <w:t>Indian </w:t>
      </w:r>
      <w:r>
        <w:rPr>
          <w:spacing w:val="-2"/>
        </w:rPr>
        <w:t>conglomerates:</w:t>
      </w:r>
    </w:p>
    <w:p>
      <w:pPr>
        <w:pStyle w:val="BodyText"/>
        <w:spacing w:before="14"/>
      </w:pPr>
    </w:p>
    <w:p>
      <w:pPr>
        <w:pStyle w:val="Heading4"/>
        <w:spacing w:before="1"/>
      </w:pPr>
      <w:r>
        <w:rPr/>
        <w:t>Table 5.10: Working Capital Comparison - Indian Conglomerates (FY2024-</w:t>
      </w:r>
      <w:r>
        <w:rPr>
          <w:spacing w:val="-5"/>
        </w:rPr>
        <w:t>25)</w:t>
      </w:r>
    </w:p>
    <w:p>
      <w:pPr>
        <w:pStyle w:val="BodyText"/>
        <w:spacing w:before="6"/>
        <w:rPr>
          <w:rFonts w:ascii="Arial"/>
          <w:b/>
          <w:sz w:val="12"/>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4"/>
        <w:gridCol w:w="807"/>
        <w:gridCol w:w="1252"/>
        <w:gridCol w:w="1863"/>
        <w:gridCol w:w="1685"/>
        <w:gridCol w:w="1218"/>
      </w:tblGrid>
      <w:tr>
        <w:trPr>
          <w:trHeight w:val="350" w:hRule="atLeast"/>
        </w:trPr>
        <w:tc>
          <w:tcPr>
            <w:tcW w:w="2974" w:type="dxa"/>
            <w:shd w:val="clear" w:color="auto" w:fill="D3D3D3"/>
          </w:tcPr>
          <w:p>
            <w:pPr>
              <w:pStyle w:val="TableParagraph"/>
              <w:ind w:left="9"/>
              <w:jc w:val="center"/>
              <w:rPr>
                <w:sz w:val="20"/>
              </w:rPr>
            </w:pPr>
            <w:r>
              <w:rPr>
                <w:spacing w:val="-2"/>
                <w:sz w:val="20"/>
              </w:rPr>
              <w:t>Metric</w:t>
            </w:r>
          </w:p>
        </w:tc>
        <w:tc>
          <w:tcPr>
            <w:tcW w:w="807" w:type="dxa"/>
            <w:shd w:val="clear" w:color="auto" w:fill="D3D3D3"/>
          </w:tcPr>
          <w:p>
            <w:pPr>
              <w:pStyle w:val="TableParagraph"/>
              <w:ind w:left="0" w:right="236"/>
              <w:jc w:val="right"/>
              <w:rPr>
                <w:sz w:val="20"/>
              </w:rPr>
            </w:pPr>
            <w:r>
              <w:rPr>
                <w:spacing w:val="-5"/>
                <w:sz w:val="20"/>
              </w:rPr>
              <w:t>RIL</w:t>
            </w:r>
          </w:p>
        </w:tc>
        <w:tc>
          <w:tcPr>
            <w:tcW w:w="1252" w:type="dxa"/>
            <w:shd w:val="clear" w:color="auto" w:fill="D3D3D3"/>
          </w:tcPr>
          <w:p>
            <w:pPr>
              <w:pStyle w:val="TableParagraph"/>
              <w:ind w:left="119"/>
              <w:rPr>
                <w:sz w:val="20"/>
              </w:rPr>
            </w:pPr>
            <w:r>
              <w:rPr>
                <w:sz w:val="20"/>
              </w:rPr>
              <w:t>Tata </w:t>
            </w:r>
            <w:r>
              <w:rPr>
                <w:spacing w:val="-2"/>
                <w:sz w:val="20"/>
              </w:rPr>
              <w:t>Group</w:t>
            </w:r>
          </w:p>
        </w:tc>
        <w:tc>
          <w:tcPr>
            <w:tcW w:w="1863" w:type="dxa"/>
            <w:shd w:val="clear" w:color="auto" w:fill="D3D3D3"/>
          </w:tcPr>
          <w:p>
            <w:pPr>
              <w:pStyle w:val="TableParagraph"/>
              <w:ind w:left="119"/>
              <w:rPr>
                <w:sz w:val="20"/>
              </w:rPr>
            </w:pPr>
            <w:r>
              <w:rPr>
                <w:sz w:val="20"/>
              </w:rPr>
              <w:t>Aditya Birla </w:t>
            </w:r>
            <w:r>
              <w:rPr>
                <w:spacing w:val="-2"/>
                <w:sz w:val="20"/>
              </w:rPr>
              <w:t>Group</w:t>
            </w:r>
          </w:p>
        </w:tc>
        <w:tc>
          <w:tcPr>
            <w:tcW w:w="1685" w:type="dxa"/>
            <w:shd w:val="clear" w:color="auto" w:fill="D3D3D3"/>
          </w:tcPr>
          <w:p>
            <w:pPr>
              <w:pStyle w:val="TableParagraph"/>
              <w:ind w:left="119"/>
              <w:rPr>
                <w:sz w:val="20"/>
              </w:rPr>
            </w:pPr>
            <w:r>
              <w:rPr>
                <w:sz w:val="20"/>
              </w:rPr>
              <w:t>Mahindra </w:t>
            </w:r>
            <w:r>
              <w:rPr>
                <w:spacing w:val="-2"/>
                <w:sz w:val="20"/>
              </w:rPr>
              <w:t>Group</w:t>
            </w:r>
          </w:p>
        </w:tc>
        <w:tc>
          <w:tcPr>
            <w:tcW w:w="1218" w:type="dxa"/>
            <w:shd w:val="clear" w:color="auto" w:fill="D3D3D3"/>
          </w:tcPr>
          <w:p>
            <w:pPr>
              <w:pStyle w:val="TableParagraph"/>
              <w:ind w:left="119"/>
              <w:rPr>
                <w:sz w:val="20"/>
              </w:rPr>
            </w:pPr>
            <w:r>
              <w:rPr>
                <w:sz w:val="20"/>
              </w:rPr>
              <w:t>L&amp;T </w:t>
            </w:r>
            <w:r>
              <w:rPr>
                <w:spacing w:val="-2"/>
                <w:sz w:val="20"/>
              </w:rPr>
              <w:t>Group</w:t>
            </w:r>
          </w:p>
        </w:tc>
      </w:tr>
      <w:tr>
        <w:trPr>
          <w:trHeight w:val="350" w:hRule="atLeast"/>
        </w:trPr>
        <w:tc>
          <w:tcPr>
            <w:tcW w:w="2974" w:type="dxa"/>
          </w:tcPr>
          <w:p>
            <w:pPr>
              <w:pStyle w:val="TableParagraph"/>
              <w:rPr>
                <w:sz w:val="20"/>
              </w:rPr>
            </w:pPr>
            <w:r>
              <w:rPr>
                <w:sz w:val="20"/>
              </w:rPr>
              <w:t>Current </w:t>
            </w:r>
            <w:r>
              <w:rPr>
                <w:spacing w:val="-2"/>
                <w:sz w:val="20"/>
              </w:rPr>
              <w:t>Ratio</w:t>
            </w:r>
          </w:p>
        </w:tc>
        <w:tc>
          <w:tcPr>
            <w:tcW w:w="807" w:type="dxa"/>
          </w:tcPr>
          <w:p>
            <w:pPr>
              <w:pStyle w:val="TableParagraph"/>
              <w:ind w:left="0" w:right="285"/>
              <w:jc w:val="right"/>
              <w:rPr>
                <w:sz w:val="20"/>
              </w:rPr>
            </w:pPr>
            <w:r>
              <w:rPr>
                <w:spacing w:val="-4"/>
                <w:sz w:val="20"/>
              </w:rPr>
              <w:t>1.59</w:t>
            </w:r>
          </w:p>
        </w:tc>
        <w:tc>
          <w:tcPr>
            <w:tcW w:w="1252" w:type="dxa"/>
          </w:tcPr>
          <w:p>
            <w:pPr>
              <w:pStyle w:val="TableParagraph"/>
              <w:ind w:left="119"/>
              <w:rPr>
                <w:sz w:val="20"/>
              </w:rPr>
            </w:pPr>
            <w:r>
              <w:rPr>
                <w:spacing w:val="-4"/>
                <w:sz w:val="20"/>
              </w:rPr>
              <w:t>1.47</w:t>
            </w:r>
          </w:p>
        </w:tc>
        <w:tc>
          <w:tcPr>
            <w:tcW w:w="1863" w:type="dxa"/>
          </w:tcPr>
          <w:p>
            <w:pPr>
              <w:pStyle w:val="TableParagraph"/>
              <w:ind w:left="119"/>
              <w:rPr>
                <w:sz w:val="20"/>
              </w:rPr>
            </w:pPr>
            <w:r>
              <w:rPr>
                <w:spacing w:val="-4"/>
                <w:sz w:val="20"/>
              </w:rPr>
              <w:t>1.35</w:t>
            </w:r>
          </w:p>
        </w:tc>
        <w:tc>
          <w:tcPr>
            <w:tcW w:w="1685" w:type="dxa"/>
          </w:tcPr>
          <w:p>
            <w:pPr>
              <w:pStyle w:val="TableParagraph"/>
              <w:ind w:left="119"/>
              <w:rPr>
                <w:sz w:val="20"/>
              </w:rPr>
            </w:pPr>
            <w:r>
              <w:rPr>
                <w:spacing w:val="-4"/>
                <w:sz w:val="20"/>
              </w:rPr>
              <w:t>1.31</w:t>
            </w:r>
          </w:p>
        </w:tc>
        <w:tc>
          <w:tcPr>
            <w:tcW w:w="1218" w:type="dxa"/>
          </w:tcPr>
          <w:p>
            <w:pPr>
              <w:pStyle w:val="TableParagraph"/>
              <w:ind w:left="119"/>
              <w:rPr>
                <w:sz w:val="20"/>
              </w:rPr>
            </w:pPr>
            <w:r>
              <w:rPr>
                <w:spacing w:val="-4"/>
                <w:sz w:val="20"/>
              </w:rPr>
              <w:t>1.42</w:t>
            </w:r>
          </w:p>
        </w:tc>
      </w:tr>
    </w:tbl>
    <w:p>
      <w:pPr>
        <w:pStyle w:val="TableParagraph"/>
        <w:spacing w:after="0"/>
        <w:rPr>
          <w:sz w:val="20"/>
        </w:rPr>
        <w:sectPr>
          <w:type w:val="continuous"/>
          <w:pgSz w:w="12240" w:h="15840"/>
          <w:pgMar w:top="1540" w:bottom="1419" w:left="1440" w:right="0"/>
        </w:sect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4"/>
        <w:gridCol w:w="807"/>
        <w:gridCol w:w="1252"/>
        <w:gridCol w:w="1863"/>
        <w:gridCol w:w="1685"/>
        <w:gridCol w:w="1218"/>
      </w:tblGrid>
      <w:tr>
        <w:trPr>
          <w:trHeight w:val="350" w:hRule="atLeast"/>
        </w:trPr>
        <w:tc>
          <w:tcPr>
            <w:tcW w:w="2974" w:type="dxa"/>
          </w:tcPr>
          <w:p>
            <w:pPr>
              <w:pStyle w:val="TableParagraph"/>
              <w:rPr>
                <w:sz w:val="20"/>
              </w:rPr>
            </w:pPr>
            <w:r>
              <w:rPr>
                <w:sz w:val="20"/>
              </w:rPr>
              <w:t>Quick </w:t>
            </w:r>
            <w:r>
              <w:rPr>
                <w:spacing w:val="-2"/>
                <w:sz w:val="20"/>
              </w:rPr>
              <w:t>Ratio</w:t>
            </w:r>
          </w:p>
        </w:tc>
        <w:tc>
          <w:tcPr>
            <w:tcW w:w="807" w:type="dxa"/>
          </w:tcPr>
          <w:p>
            <w:pPr>
              <w:pStyle w:val="TableParagraph"/>
              <w:ind w:left="9" w:right="175"/>
              <w:jc w:val="center"/>
              <w:rPr>
                <w:sz w:val="20"/>
              </w:rPr>
            </w:pPr>
            <w:r>
              <w:rPr>
                <w:spacing w:val="-4"/>
                <w:sz w:val="20"/>
              </w:rPr>
              <w:t>1.23</w:t>
            </w:r>
          </w:p>
        </w:tc>
        <w:tc>
          <w:tcPr>
            <w:tcW w:w="1252" w:type="dxa"/>
          </w:tcPr>
          <w:p>
            <w:pPr>
              <w:pStyle w:val="TableParagraph"/>
              <w:ind w:left="119"/>
              <w:rPr>
                <w:sz w:val="20"/>
              </w:rPr>
            </w:pPr>
            <w:r>
              <w:rPr>
                <w:spacing w:val="-4"/>
                <w:sz w:val="20"/>
              </w:rPr>
              <w:t>1.03</w:t>
            </w:r>
          </w:p>
        </w:tc>
        <w:tc>
          <w:tcPr>
            <w:tcW w:w="1863" w:type="dxa"/>
          </w:tcPr>
          <w:p>
            <w:pPr>
              <w:pStyle w:val="TableParagraph"/>
              <w:ind w:left="119"/>
              <w:rPr>
                <w:sz w:val="20"/>
              </w:rPr>
            </w:pPr>
            <w:r>
              <w:rPr>
                <w:spacing w:val="-4"/>
                <w:sz w:val="20"/>
              </w:rPr>
              <w:t>0.92</w:t>
            </w:r>
          </w:p>
        </w:tc>
        <w:tc>
          <w:tcPr>
            <w:tcW w:w="1685" w:type="dxa"/>
          </w:tcPr>
          <w:p>
            <w:pPr>
              <w:pStyle w:val="TableParagraph"/>
              <w:ind w:left="119"/>
              <w:rPr>
                <w:sz w:val="20"/>
              </w:rPr>
            </w:pPr>
            <w:r>
              <w:rPr>
                <w:spacing w:val="-4"/>
                <w:sz w:val="20"/>
              </w:rPr>
              <w:t>0.94</w:t>
            </w:r>
          </w:p>
        </w:tc>
        <w:tc>
          <w:tcPr>
            <w:tcW w:w="1218" w:type="dxa"/>
          </w:tcPr>
          <w:p>
            <w:pPr>
              <w:pStyle w:val="TableParagraph"/>
              <w:ind w:left="119"/>
              <w:rPr>
                <w:sz w:val="20"/>
              </w:rPr>
            </w:pPr>
            <w:r>
              <w:rPr>
                <w:spacing w:val="-4"/>
                <w:sz w:val="20"/>
              </w:rPr>
              <w:t>1.08</w:t>
            </w:r>
          </w:p>
        </w:tc>
      </w:tr>
      <w:tr>
        <w:trPr>
          <w:trHeight w:val="350" w:hRule="atLeast"/>
        </w:trPr>
        <w:tc>
          <w:tcPr>
            <w:tcW w:w="2974" w:type="dxa"/>
          </w:tcPr>
          <w:p>
            <w:pPr>
              <w:pStyle w:val="TableParagraph"/>
              <w:rPr>
                <w:sz w:val="20"/>
              </w:rPr>
            </w:pPr>
            <w:r>
              <w:rPr>
                <w:sz w:val="20"/>
              </w:rPr>
              <w:t>Cash Conversion Cycle </w:t>
            </w:r>
            <w:r>
              <w:rPr>
                <w:spacing w:val="-2"/>
                <w:sz w:val="20"/>
              </w:rPr>
              <w:t>(Days)</w:t>
            </w:r>
          </w:p>
        </w:tc>
        <w:tc>
          <w:tcPr>
            <w:tcW w:w="807" w:type="dxa"/>
          </w:tcPr>
          <w:p>
            <w:pPr>
              <w:pStyle w:val="TableParagraph"/>
              <w:ind w:left="9" w:right="175"/>
              <w:jc w:val="center"/>
              <w:rPr>
                <w:sz w:val="20"/>
              </w:rPr>
            </w:pPr>
            <w:r>
              <w:rPr>
                <w:spacing w:val="-4"/>
                <w:sz w:val="20"/>
              </w:rPr>
              <w:t>39.0</w:t>
            </w:r>
          </w:p>
        </w:tc>
        <w:tc>
          <w:tcPr>
            <w:tcW w:w="1252" w:type="dxa"/>
          </w:tcPr>
          <w:p>
            <w:pPr>
              <w:pStyle w:val="TableParagraph"/>
              <w:ind w:left="119"/>
              <w:rPr>
                <w:sz w:val="20"/>
              </w:rPr>
            </w:pPr>
            <w:r>
              <w:rPr>
                <w:spacing w:val="-4"/>
                <w:sz w:val="20"/>
              </w:rPr>
              <w:t>46.7</w:t>
            </w:r>
          </w:p>
        </w:tc>
        <w:tc>
          <w:tcPr>
            <w:tcW w:w="1863" w:type="dxa"/>
          </w:tcPr>
          <w:p>
            <w:pPr>
              <w:pStyle w:val="TableParagraph"/>
              <w:ind w:left="119"/>
              <w:rPr>
                <w:sz w:val="20"/>
              </w:rPr>
            </w:pPr>
            <w:r>
              <w:rPr>
                <w:spacing w:val="-4"/>
                <w:sz w:val="20"/>
              </w:rPr>
              <w:t>51.4</w:t>
            </w:r>
          </w:p>
        </w:tc>
        <w:tc>
          <w:tcPr>
            <w:tcW w:w="1685" w:type="dxa"/>
          </w:tcPr>
          <w:p>
            <w:pPr>
              <w:pStyle w:val="TableParagraph"/>
              <w:ind w:left="119"/>
              <w:rPr>
                <w:sz w:val="20"/>
              </w:rPr>
            </w:pPr>
            <w:r>
              <w:rPr>
                <w:spacing w:val="-4"/>
                <w:sz w:val="20"/>
              </w:rPr>
              <w:t>53.8</w:t>
            </w:r>
          </w:p>
        </w:tc>
        <w:tc>
          <w:tcPr>
            <w:tcW w:w="1218" w:type="dxa"/>
          </w:tcPr>
          <w:p>
            <w:pPr>
              <w:pStyle w:val="TableParagraph"/>
              <w:ind w:left="119"/>
              <w:rPr>
                <w:sz w:val="20"/>
              </w:rPr>
            </w:pPr>
            <w:r>
              <w:rPr>
                <w:spacing w:val="-4"/>
                <w:sz w:val="20"/>
              </w:rPr>
              <w:t>62.3</w:t>
            </w:r>
          </w:p>
        </w:tc>
      </w:tr>
      <w:tr>
        <w:trPr>
          <w:trHeight w:val="350" w:hRule="atLeast"/>
        </w:trPr>
        <w:tc>
          <w:tcPr>
            <w:tcW w:w="2974" w:type="dxa"/>
          </w:tcPr>
          <w:p>
            <w:pPr>
              <w:pStyle w:val="TableParagraph"/>
              <w:rPr>
                <w:sz w:val="20"/>
              </w:rPr>
            </w:pPr>
            <w:r>
              <w:rPr>
                <w:sz w:val="20"/>
              </w:rPr>
              <w:t>Inventory </w:t>
            </w:r>
            <w:r>
              <w:rPr>
                <w:spacing w:val="-2"/>
                <w:sz w:val="20"/>
              </w:rPr>
              <w:t>Turnover</w:t>
            </w:r>
          </w:p>
        </w:tc>
        <w:tc>
          <w:tcPr>
            <w:tcW w:w="807" w:type="dxa"/>
          </w:tcPr>
          <w:p>
            <w:pPr>
              <w:pStyle w:val="TableParagraph"/>
              <w:ind w:left="9" w:right="175"/>
              <w:jc w:val="center"/>
              <w:rPr>
                <w:sz w:val="20"/>
              </w:rPr>
            </w:pPr>
            <w:r>
              <w:rPr>
                <w:spacing w:val="-4"/>
                <w:sz w:val="20"/>
              </w:rPr>
              <w:t>5.41</w:t>
            </w:r>
          </w:p>
        </w:tc>
        <w:tc>
          <w:tcPr>
            <w:tcW w:w="1252" w:type="dxa"/>
          </w:tcPr>
          <w:p>
            <w:pPr>
              <w:pStyle w:val="TableParagraph"/>
              <w:ind w:left="119"/>
              <w:rPr>
                <w:sz w:val="20"/>
              </w:rPr>
            </w:pPr>
            <w:r>
              <w:rPr>
                <w:spacing w:val="-4"/>
                <w:sz w:val="20"/>
              </w:rPr>
              <w:t>4.97</w:t>
            </w:r>
          </w:p>
        </w:tc>
        <w:tc>
          <w:tcPr>
            <w:tcW w:w="1863" w:type="dxa"/>
          </w:tcPr>
          <w:p>
            <w:pPr>
              <w:pStyle w:val="TableParagraph"/>
              <w:ind w:left="119"/>
              <w:rPr>
                <w:sz w:val="20"/>
              </w:rPr>
            </w:pPr>
            <w:r>
              <w:rPr>
                <w:spacing w:val="-4"/>
                <w:sz w:val="20"/>
              </w:rPr>
              <w:t>4.85</w:t>
            </w:r>
          </w:p>
        </w:tc>
        <w:tc>
          <w:tcPr>
            <w:tcW w:w="1685" w:type="dxa"/>
          </w:tcPr>
          <w:p>
            <w:pPr>
              <w:pStyle w:val="TableParagraph"/>
              <w:ind w:left="119"/>
              <w:rPr>
                <w:sz w:val="20"/>
              </w:rPr>
            </w:pPr>
            <w:r>
              <w:rPr>
                <w:spacing w:val="-4"/>
                <w:sz w:val="20"/>
              </w:rPr>
              <w:t>4.93</w:t>
            </w:r>
          </w:p>
        </w:tc>
        <w:tc>
          <w:tcPr>
            <w:tcW w:w="1218" w:type="dxa"/>
          </w:tcPr>
          <w:p>
            <w:pPr>
              <w:pStyle w:val="TableParagraph"/>
              <w:ind w:left="119"/>
              <w:rPr>
                <w:sz w:val="20"/>
              </w:rPr>
            </w:pPr>
            <w:r>
              <w:rPr>
                <w:spacing w:val="-4"/>
                <w:sz w:val="20"/>
              </w:rPr>
              <w:t>4.62</w:t>
            </w:r>
          </w:p>
        </w:tc>
      </w:tr>
      <w:tr>
        <w:trPr>
          <w:trHeight w:val="350" w:hRule="atLeast"/>
        </w:trPr>
        <w:tc>
          <w:tcPr>
            <w:tcW w:w="2974" w:type="dxa"/>
          </w:tcPr>
          <w:p>
            <w:pPr>
              <w:pStyle w:val="TableParagraph"/>
              <w:rPr>
                <w:sz w:val="20"/>
              </w:rPr>
            </w:pPr>
            <w:r>
              <w:rPr>
                <w:sz w:val="20"/>
              </w:rPr>
              <w:t>Receivables </w:t>
            </w:r>
            <w:r>
              <w:rPr>
                <w:spacing w:val="-2"/>
                <w:sz w:val="20"/>
              </w:rPr>
              <w:t>Turnover</w:t>
            </w:r>
          </w:p>
        </w:tc>
        <w:tc>
          <w:tcPr>
            <w:tcW w:w="807" w:type="dxa"/>
          </w:tcPr>
          <w:p>
            <w:pPr>
              <w:pStyle w:val="TableParagraph"/>
              <w:ind w:left="9" w:right="63"/>
              <w:jc w:val="center"/>
              <w:rPr>
                <w:sz w:val="20"/>
              </w:rPr>
            </w:pPr>
            <w:r>
              <w:rPr>
                <w:spacing w:val="-2"/>
                <w:sz w:val="20"/>
              </w:rPr>
              <w:t>35.92</w:t>
            </w:r>
          </w:p>
        </w:tc>
        <w:tc>
          <w:tcPr>
            <w:tcW w:w="1252" w:type="dxa"/>
          </w:tcPr>
          <w:p>
            <w:pPr>
              <w:pStyle w:val="TableParagraph"/>
              <w:ind w:left="119"/>
              <w:rPr>
                <w:sz w:val="20"/>
              </w:rPr>
            </w:pPr>
            <w:r>
              <w:rPr>
                <w:spacing w:val="-2"/>
                <w:sz w:val="20"/>
              </w:rPr>
              <w:t>21.58</w:t>
            </w:r>
          </w:p>
        </w:tc>
        <w:tc>
          <w:tcPr>
            <w:tcW w:w="1863" w:type="dxa"/>
          </w:tcPr>
          <w:p>
            <w:pPr>
              <w:pStyle w:val="TableParagraph"/>
              <w:ind w:left="119"/>
              <w:rPr>
                <w:sz w:val="20"/>
              </w:rPr>
            </w:pPr>
            <w:r>
              <w:rPr>
                <w:spacing w:val="-2"/>
                <w:sz w:val="20"/>
              </w:rPr>
              <w:t>18.93</w:t>
            </w:r>
          </w:p>
        </w:tc>
        <w:tc>
          <w:tcPr>
            <w:tcW w:w="1685" w:type="dxa"/>
          </w:tcPr>
          <w:p>
            <w:pPr>
              <w:pStyle w:val="TableParagraph"/>
              <w:ind w:left="119"/>
              <w:rPr>
                <w:sz w:val="20"/>
              </w:rPr>
            </w:pPr>
            <w:r>
              <w:rPr>
                <w:spacing w:val="-2"/>
                <w:sz w:val="20"/>
              </w:rPr>
              <w:t>20.75</w:t>
            </w:r>
          </w:p>
        </w:tc>
        <w:tc>
          <w:tcPr>
            <w:tcW w:w="1218" w:type="dxa"/>
          </w:tcPr>
          <w:p>
            <w:pPr>
              <w:pStyle w:val="TableParagraph"/>
              <w:ind w:left="119"/>
              <w:rPr>
                <w:sz w:val="20"/>
              </w:rPr>
            </w:pPr>
            <w:r>
              <w:rPr>
                <w:spacing w:val="-2"/>
                <w:sz w:val="20"/>
              </w:rPr>
              <w:t>16.34</w:t>
            </w:r>
          </w:p>
        </w:tc>
      </w:tr>
      <w:tr>
        <w:trPr>
          <w:trHeight w:val="350" w:hRule="atLeast"/>
        </w:trPr>
        <w:tc>
          <w:tcPr>
            <w:tcW w:w="2974" w:type="dxa"/>
          </w:tcPr>
          <w:p>
            <w:pPr>
              <w:pStyle w:val="TableParagraph"/>
              <w:rPr>
                <w:sz w:val="20"/>
              </w:rPr>
            </w:pPr>
            <w:r>
              <w:rPr>
                <w:sz w:val="20"/>
              </w:rPr>
              <w:t>Working Capital to </w:t>
            </w:r>
            <w:r>
              <w:rPr>
                <w:spacing w:val="-2"/>
                <w:sz w:val="20"/>
              </w:rPr>
              <w:t>Revenue</w:t>
            </w:r>
          </w:p>
        </w:tc>
        <w:tc>
          <w:tcPr>
            <w:tcW w:w="807" w:type="dxa"/>
          </w:tcPr>
          <w:p>
            <w:pPr>
              <w:pStyle w:val="TableParagraph"/>
              <w:ind w:left="63" w:right="54"/>
              <w:jc w:val="center"/>
              <w:rPr>
                <w:sz w:val="20"/>
              </w:rPr>
            </w:pPr>
            <w:r>
              <w:rPr>
                <w:spacing w:val="-2"/>
                <w:sz w:val="20"/>
              </w:rPr>
              <w:t>12.4%</w:t>
            </w:r>
          </w:p>
        </w:tc>
        <w:tc>
          <w:tcPr>
            <w:tcW w:w="1252" w:type="dxa"/>
          </w:tcPr>
          <w:p>
            <w:pPr>
              <w:pStyle w:val="TableParagraph"/>
              <w:ind w:left="119"/>
              <w:rPr>
                <w:sz w:val="20"/>
              </w:rPr>
            </w:pPr>
            <w:r>
              <w:rPr>
                <w:spacing w:val="-2"/>
                <w:sz w:val="20"/>
              </w:rPr>
              <w:t>14.3%</w:t>
            </w:r>
          </w:p>
        </w:tc>
        <w:tc>
          <w:tcPr>
            <w:tcW w:w="1863" w:type="dxa"/>
          </w:tcPr>
          <w:p>
            <w:pPr>
              <w:pStyle w:val="TableParagraph"/>
              <w:ind w:left="119"/>
              <w:rPr>
                <w:sz w:val="20"/>
              </w:rPr>
            </w:pPr>
            <w:r>
              <w:rPr>
                <w:spacing w:val="-2"/>
                <w:sz w:val="20"/>
              </w:rPr>
              <w:t>15.2%</w:t>
            </w:r>
          </w:p>
        </w:tc>
        <w:tc>
          <w:tcPr>
            <w:tcW w:w="1685" w:type="dxa"/>
          </w:tcPr>
          <w:p>
            <w:pPr>
              <w:pStyle w:val="TableParagraph"/>
              <w:ind w:left="119"/>
              <w:rPr>
                <w:sz w:val="20"/>
              </w:rPr>
            </w:pPr>
            <w:r>
              <w:rPr>
                <w:spacing w:val="-2"/>
                <w:sz w:val="20"/>
              </w:rPr>
              <w:t>16.7%</w:t>
            </w:r>
          </w:p>
        </w:tc>
        <w:tc>
          <w:tcPr>
            <w:tcW w:w="1218" w:type="dxa"/>
          </w:tcPr>
          <w:p>
            <w:pPr>
              <w:pStyle w:val="TableParagraph"/>
              <w:ind w:left="119"/>
              <w:rPr>
                <w:sz w:val="20"/>
              </w:rPr>
            </w:pPr>
            <w:r>
              <w:rPr>
                <w:spacing w:val="-2"/>
                <w:sz w:val="20"/>
              </w:rPr>
              <w:t>18.9%</w:t>
            </w:r>
          </w:p>
        </w:tc>
      </w:tr>
      <w:tr>
        <w:trPr>
          <w:trHeight w:val="350" w:hRule="atLeast"/>
        </w:trPr>
        <w:tc>
          <w:tcPr>
            <w:tcW w:w="2974" w:type="dxa"/>
          </w:tcPr>
          <w:p>
            <w:pPr>
              <w:pStyle w:val="TableParagraph"/>
              <w:rPr>
                <w:sz w:val="20"/>
              </w:rPr>
            </w:pPr>
            <w:r>
              <w:rPr>
                <w:sz w:val="20"/>
              </w:rPr>
              <w:t>Return on Working </w:t>
            </w:r>
            <w:r>
              <w:rPr>
                <w:spacing w:val="-2"/>
                <w:sz w:val="20"/>
              </w:rPr>
              <w:t>Capital</w:t>
            </w:r>
          </w:p>
        </w:tc>
        <w:tc>
          <w:tcPr>
            <w:tcW w:w="807" w:type="dxa"/>
          </w:tcPr>
          <w:p>
            <w:pPr>
              <w:pStyle w:val="TableParagraph"/>
              <w:ind w:left="63" w:right="54"/>
              <w:jc w:val="center"/>
              <w:rPr>
                <w:sz w:val="20"/>
              </w:rPr>
            </w:pPr>
            <w:r>
              <w:rPr>
                <w:spacing w:val="-2"/>
                <w:sz w:val="20"/>
              </w:rPr>
              <w:t>86.0%</w:t>
            </w:r>
          </w:p>
        </w:tc>
        <w:tc>
          <w:tcPr>
            <w:tcW w:w="1252" w:type="dxa"/>
          </w:tcPr>
          <w:p>
            <w:pPr>
              <w:pStyle w:val="TableParagraph"/>
              <w:ind w:left="119"/>
              <w:rPr>
                <w:sz w:val="20"/>
              </w:rPr>
            </w:pPr>
            <w:r>
              <w:rPr>
                <w:spacing w:val="-2"/>
                <w:sz w:val="20"/>
              </w:rPr>
              <w:t>72.4%</w:t>
            </w:r>
          </w:p>
        </w:tc>
        <w:tc>
          <w:tcPr>
            <w:tcW w:w="1863" w:type="dxa"/>
          </w:tcPr>
          <w:p>
            <w:pPr>
              <w:pStyle w:val="TableParagraph"/>
              <w:ind w:left="119"/>
              <w:rPr>
                <w:sz w:val="20"/>
              </w:rPr>
            </w:pPr>
            <w:r>
              <w:rPr>
                <w:spacing w:val="-2"/>
                <w:sz w:val="20"/>
              </w:rPr>
              <w:t>68.7%</w:t>
            </w:r>
          </w:p>
        </w:tc>
        <w:tc>
          <w:tcPr>
            <w:tcW w:w="1685" w:type="dxa"/>
          </w:tcPr>
          <w:p>
            <w:pPr>
              <w:pStyle w:val="TableParagraph"/>
              <w:ind w:left="119"/>
              <w:rPr>
                <w:sz w:val="20"/>
              </w:rPr>
            </w:pPr>
            <w:r>
              <w:rPr>
                <w:spacing w:val="-2"/>
                <w:sz w:val="20"/>
              </w:rPr>
              <w:t>64.3%</w:t>
            </w:r>
          </w:p>
        </w:tc>
        <w:tc>
          <w:tcPr>
            <w:tcW w:w="1218" w:type="dxa"/>
          </w:tcPr>
          <w:p>
            <w:pPr>
              <w:pStyle w:val="TableParagraph"/>
              <w:ind w:left="119"/>
              <w:rPr>
                <w:sz w:val="20"/>
              </w:rPr>
            </w:pPr>
            <w:r>
              <w:rPr>
                <w:spacing w:val="-2"/>
                <w:sz w:val="20"/>
              </w:rPr>
              <w:t>59.8%</w:t>
            </w:r>
          </w:p>
        </w:tc>
      </w:tr>
    </w:tbl>
    <w:p>
      <w:pPr>
        <w:pStyle w:val="BodyText"/>
        <w:spacing w:before="228"/>
        <w:rPr>
          <w:rFonts w:ascii="Arial"/>
          <w:b/>
        </w:rPr>
      </w:pPr>
    </w:p>
    <w:p>
      <w:pPr>
        <w:spacing w:before="1"/>
        <w:ind w:left="120" w:right="0" w:firstLine="0"/>
        <w:jc w:val="left"/>
        <w:rPr>
          <w:rFonts w:ascii="Arial"/>
          <w:i/>
          <w:sz w:val="24"/>
        </w:rPr>
      </w:pPr>
      <w:r>
        <w:rPr>
          <w:rFonts w:ascii="Arial"/>
          <w:i/>
          <w:sz w:val="24"/>
        </w:rPr>
        <w:t>Source: Annual Reports and Capital IQ, FY2024-</w:t>
      </w:r>
      <w:r>
        <w:rPr>
          <w:rFonts w:ascii="Arial"/>
          <w:i/>
          <w:spacing w:val="-5"/>
          <w:sz w:val="24"/>
        </w:rPr>
        <w:t>25</w:t>
      </w:r>
    </w:p>
    <w:p>
      <w:pPr>
        <w:pStyle w:val="BodyText"/>
        <w:spacing w:before="7"/>
        <w:rPr>
          <w:rFonts w:ascii="Arial"/>
          <w:i/>
        </w:rPr>
      </w:pPr>
    </w:p>
    <w:p>
      <w:pPr>
        <w:pStyle w:val="Heading4"/>
        <w:spacing w:before="1"/>
      </w:pPr>
      <w:r>
        <w:rPr/>
        <w:t>Key </w:t>
      </w:r>
      <w:r>
        <w:rPr>
          <w:spacing w:val="-2"/>
        </w:rPr>
        <w:t>Observations:</w:t>
      </w:r>
    </w:p>
    <w:p>
      <w:pPr>
        <w:pStyle w:val="BodyText"/>
        <w:spacing w:before="37"/>
        <w:rPr>
          <w:rFonts w:ascii="Arial"/>
          <w:b/>
        </w:rPr>
      </w:pPr>
    </w:p>
    <w:p>
      <w:pPr>
        <w:pStyle w:val="ListParagraph"/>
        <w:numPr>
          <w:ilvl w:val="0"/>
          <w:numId w:val="23"/>
        </w:numPr>
        <w:tabs>
          <w:tab w:pos="386" w:val="left" w:leader="none"/>
        </w:tabs>
        <w:spacing w:line="208" w:lineRule="auto" w:before="0" w:after="0"/>
        <w:ind w:left="120" w:right="1659" w:firstLine="0"/>
        <w:jc w:val="left"/>
        <w:rPr>
          <w:sz w:val="24"/>
        </w:rPr>
      </w:pPr>
      <w:r>
        <w:rPr>
          <w:rFonts w:ascii="Arial"/>
          <w:b/>
          <w:sz w:val="24"/>
        </w:rPr>
        <w:t>Superior Liquidity Position: </w:t>
      </w:r>
      <w:r>
        <w:rPr>
          <w:sz w:val="24"/>
        </w:rPr>
        <w:t>RIL maintains higher liquidity ratios compared to other</w:t>
      </w:r>
      <w:r>
        <w:rPr>
          <w:spacing w:val="-3"/>
          <w:sz w:val="24"/>
        </w:rPr>
        <w:t> </w:t>
      </w:r>
      <w:r>
        <w:rPr>
          <w:sz w:val="24"/>
        </w:rPr>
        <w:t>major</w:t>
      </w:r>
      <w:r>
        <w:rPr>
          <w:spacing w:val="-3"/>
          <w:sz w:val="24"/>
        </w:rPr>
        <w:t> </w:t>
      </w:r>
      <w:r>
        <w:rPr>
          <w:sz w:val="24"/>
        </w:rPr>
        <w:t>Indian</w:t>
      </w:r>
      <w:r>
        <w:rPr>
          <w:spacing w:val="-3"/>
          <w:sz w:val="24"/>
        </w:rPr>
        <w:t> </w:t>
      </w:r>
      <w:r>
        <w:rPr>
          <w:sz w:val="24"/>
        </w:rPr>
        <w:t>conglomerates,</w:t>
      </w:r>
      <w:r>
        <w:rPr>
          <w:spacing w:val="-3"/>
          <w:sz w:val="24"/>
        </w:rPr>
        <w:t> </w:t>
      </w:r>
      <w:r>
        <w:rPr>
          <w:sz w:val="24"/>
        </w:rPr>
        <w:t>with</w:t>
      </w:r>
      <w:r>
        <w:rPr>
          <w:spacing w:val="-3"/>
          <w:sz w:val="24"/>
        </w:rPr>
        <w:t> </w:t>
      </w:r>
      <w:r>
        <w:rPr>
          <w:sz w:val="24"/>
        </w:rPr>
        <w:t>its</w:t>
      </w:r>
      <w:r>
        <w:rPr>
          <w:spacing w:val="-3"/>
          <w:sz w:val="24"/>
        </w:rPr>
        <w:t> </w:t>
      </w:r>
      <w:r>
        <w:rPr>
          <w:sz w:val="24"/>
        </w:rPr>
        <w:t>current</w:t>
      </w:r>
      <w:r>
        <w:rPr>
          <w:spacing w:val="-3"/>
          <w:sz w:val="24"/>
        </w:rPr>
        <w:t> </w:t>
      </w:r>
      <w:r>
        <w:rPr>
          <w:sz w:val="24"/>
        </w:rPr>
        <w:t>ratio</w:t>
      </w:r>
      <w:r>
        <w:rPr>
          <w:spacing w:val="-3"/>
          <w:sz w:val="24"/>
        </w:rPr>
        <w:t> </w:t>
      </w:r>
      <w:r>
        <w:rPr>
          <w:sz w:val="24"/>
        </w:rPr>
        <w:t>of</w:t>
      </w:r>
      <w:r>
        <w:rPr>
          <w:spacing w:val="-3"/>
          <w:sz w:val="24"/>
        </w:rPr>
        <w:t> </w:t>
      </w:r>
      <w:r>
        <w:rPr>
          <w:sz w:val="24"/>
        </w:rPr>
        <w:t>1.59</w:t>
      </w:r>
      <w:r>
        <w:rPr>
          <w:spacing w:val="-3"/>
          <w:sz w:val="24"/>
        </w:rPr>
        <w:t> </w:t>
      </w:r>
      <w:r>
        <w:rPr>
          <w:sz w:val="24"/>
        </w:rPr>
        <w:t>and</w:t>
      </w:r>
      <w:r>
        <w:rPr>
          <w:spacing w:val="-3"/>
          <w:sz w:val="24"/>
        </w:rPr>
        <w:t> </w:t>
      </w:r>
      <w:r>
        <w:rPr>
          <w:sz w:val="24"/>
        </w:rPr>
        <w:t>quick</w:t>
      </w:r>
      <w:r>
        <w:rPr>
          <w:spacing w:val="-3"/>
          <w:sz w:val="24"/>
        </w:rPr>
        <w:t> </w:t>
      </w:r>
      <w:r>
        <w:rPr>
          <w:sz w:val="24"/>
        </w:rPr>
        <w:t>ratio</w:t>
      </w:r>
      <w:r>
        <w:rPr>
          <w:spacing w:val="-3"/>
          <w:sz w:val="24"/>
        </w:rPr>
        <w:t> </w:t>
      </w:r>
      <w:r>
        <w:rPr>
          <w:sz w:val="24"/>
        </w:rPr>
        <w:t>of</w:t>
      </w:r>
      <w:r>
        <w:rPr>
          <w:spacing w:val="-3"/>
          <w:sz w:val="24"/>
        </w:rPr>
        <w:t> </w:t>
      </w:r>
      <w:r>
        <w:rPr>
          <w:sz w:val="24"/>
        </w:rPr>
        <w:t>1.23 exceeding peer averages.</w:t>
      </w:r>
    </w:p>
    <w:p>
      <w:pPr>
        <w:pStyle w:val="BodyText"/>
        <w:spacing w:before="43"/>
      </w:pPr>
    </w:p>
    <w:p>
      <w:pPr>
        <w:pStyle w:val="ListParagraph"/>
        <w:numPr>
          <w:ilvl w:val="0"/>
          <w:numId w:val="23"/>
        </w:numPr>
        <w:tabs>
          <w:tab w:pos="386" w:val="left" w:leader="none"/>
        </w:tabs>
        <w:spacing w:line="208" w:lineRule="auto" w:before="1" w:after="0"/>
        <w:ind w:left="120" w:right="1793" w:firstLine="0"/>
        <w:jc w:val="left"/>
        <w:rPr>
          <w:sz w:val="24"/>
        </w:rPr>
      </w:pPr>
      <w:r>
        <w:rPr>
          <w:rFonts w:ascii="Arial"/>
          <w:b/>
          <w:sz w:val="24"/>
        </w:rPr>
        <w:t>Cash Conversion Efficiency: </w:t>
      </w:r>
      <w:r>
        <w:rPr>
          <w:sz w:val="24"/>
        </w:rPr>
        <w:t>RIL's cash conversion cycle of 39.0 days is significantly</w:t>
      </w:r>
      <w:r>
        <w:rPr>
          <w:spacing w:val="-4"/>
          <w:sz w:val="24"/>
        </w:rPr>
        <w:t> </w:t>
      </w:r>
      <w:r>
        <w:rPr>
          <w:sz w:val="24"/>
        </w:rPr>
        <w:t>shorter</w:t>
      </w:r>
      <w:r>
        <w:rPr>
          <w:spacing w:val="-4"/>
          <w:sz w:val="24"/>
        </w:rPr>
        <w:t> </w:t>
      </w:r>
      <w:r>
        <w:rPr>
          <w:sz w:val="24"/>
        </w:rPr>
        <w:t>than</w:t>
      </w:r>
      <w:r>
        <w:rPr>
          <w:spacing w:val="-4"/>
          <w:sz w:val="24"/>
        </w:rPr>
        <w:t> </w:t>
      </w:r>
      <w:r>
        <w:rPr>
          <w:sz w:val="24"/>
        </w:rPr>
        <w:t>other</w:t>
      </w:r>
      <w:r>
        <w:rPr>
          <w:spacing w:val="-4"/>
          <w:sz w:val="24"/>
        </w:rPr>
        <w:t> </w:t>
      </w:r>
      <w:r>
        <w:rPr>
          <w:sz w:val="24"/>
        </w:rPr>
        <w:t>diversified</w:t>
      </w:r>
      <w:r>
        <w:rPr>
          <w:spacing w:val="-4"/>
          <w:sz w:val="24"/>
        </w:rPr>
        <w:t> </w:t>
      </w:r>
      <w:r>
        <w:rPr>
          <w:sz w:val="24"/>
        </w:rPr>
        <w:t>groups,</w:t>
      </w:r>
      <w:r>
        <w:rPr>
          <w:spacing w:val="-4"/>
          <w:sz w:val="24"/>
        </w:rPr>
        <w:t> </w:t>
      </w:r>
      <w:r>
        <w:rPr>
          <w:sz w:val="24"/>
        </w:rPr>
        <w:t>with</w:t>
      </w:r>
      <w:r>
        <w:rPr>
          <w:spacing w:val="-4"/>
          <w:sz w:val="24"/>
        </w:rPr>
        <w:t> </w:t>
      </w:r>
      <w:r>
        <w:rPr>
          <w:sz w:val="24"/>
        </w:rPr>
        <w:t>the</w:t>
      </w:r>
      <w:r>
        <w:rPr>
          <w:spacing w:val="-4"/>
          <w:sz w:val="24"/>
        </w:rPr>
        <w:t> </w:t>
      </w:r>
      <w:r>
        <w:rPr>
          <w:sz w:val="24"/>
        </w:rPr>
        <w:t>next</w:t>
      </w:r>
      <w:r>
        <w:rPr>
          <w:spacing w:val="-4"/>
          <w:sz w:val="24"/>
        </w:rPr>
        <w:t> </w:t>
      </w:r>
      <w:r>
        <w:rPr>
          <w:sz w:val="24"/>
        </w:rPr>
        <w:t>best</w:t>
      </w:r>
      <w:r>
        <w:rPr>
          <w:spacing w:val="-4"/>
          <w:sz w:val="24"/>
        </w:rPr>
        <w:t> </w:t>
      </w:r>
      <w:r>
        <w:rPr>
          <w:sz w:val="24"/>
        </w:rPr>
        <w:t>performer</w:t>
      </w:r>
      <w:r>
        <w:rPr>
          <w:spacing w:val="-4"/>
          <w:sz w:val="24"/>
        </w:rPr>
        <w:t> </w:t>
      </w:r>
      <w:r>
        <w:rPr>
          <w:sz w:val="24"/>
        </w:rPr>
        <w:t>(Tata Group) at 46.7 days.</w:t>
      </w:r>
    </w:p>
    <w:p>
      <w:pPr>
        <w:pStyle w:val="BodyText"/>
        <w:spacing w:before="43"/>
      </w:pPr>
    </w:p>
    <w:p>
      <w:pPr>
        <w:pStyle w:val="ListParagraph"/>
        <w:numPr>
          <w:ilvl w:val="0"/>
          <w:numId w:val="23"/>
        </w:numPr>
        <w:tabs>
          <w:tab w:pos="386" w:val="left" w:leader="none"/>
        </w:tabs>
        <w:spacing w:line="208" w:lineRule="auto" w:before="0" w:after="0"/>
        <w:ind w:left="120" w:right="1726" w:firstLine="0"/>
        <w:jc w:val="left"/>
        <w:rPr>
          <w:sz w:val="24"/>
        </w:rPr>
      </w:pPr>
      <w:r>
        <w:rPr>
          <w:rFonts w:ascii="Arial"/>
          <w:b/>
          <w:sz w:val="24"/>
        </w:rPr>
        <w:t>Exceptional Receivables Management: </w:t>
      </w:r>
      <w:r>
        <w:rPr>
          <w:sz w:val="24"/>
        </w:rPr>
        <w:t>RIL's receivables turnover of 35.92 substantially</w:t>
      </w:r>
      <w:r>
        <w:rPr>
          <w:spacing w:val="-4"/>
          <w:sz w:val="24"/>
        </w:rPr>
        <w:t> </w:t>
      </w:r>
      <w:r>
        <w:rPr>
          <w:sz w:val="24"/>
        </w:rPr>
        <w:t>outperforms</w:t>
      </w:r>
      <w:r>
        <w:rPr>
          <w:spacing w:val="-4"/>
          <w:sz w:val="24"/>
        </w:rPr>
        <w:t> </w:t>
      </w:r>
      <w:r>
        <w:rPr>
          <w:sz w:val="24"/>
        </w:rPr>
        <w:t>other</w:t>
      </w:r>
      <w:r>
        <w:rPr>
          <w:spacing w:val="-4"/>
          <w:sz w:val="24"/>
        </w:rPr>
        <w:t> </w:t>
      </w:r>
      <w:r>
        <w:rPr>
          <w:sz w:val="24"/>
        </w:rPr>
        <w:t>conglomerates,</w:t>
      </w:r>
      <w:r>
        <w:rPr>
          <w:spacing w:val="-4"/>
          <w:sz w:val="24"/>
        </w:rPr>
        <w:t> </w:t>
      </w:r>
      <w:r>
        <w:rPr>
          <w:sz w:val="24"/>
        </w:rPr>
        <w:t>with</w:t>
      </w:r>
      <w:r>
        <w:rPr>
          <w:spacing w:val="-4"/>
          <w:sz w:val="24"/>
        </w:rPr>
        <w:t> </w:t>
      </w:r>
      <w:r>
        <w:rPr>
          <w:sz w:val="24"/>
        </w:rPr>
        <w:t>the</w:t>
      </w:r>
      <w:r>
        <w:rPr>
          <w:spacing w:val="-4"/>
          <w:sz w:val="24"/>
        </w:rPr>
        <w:t> </w:t>
      </w:r>
      <w:r>
        <w:rPr>
          <w:sz w:val="24"/>
        </w:rPr>
        <w:t>next</w:t>
      </w:r>
      <w:r>
        <w:rPr>
          <w:spacing w:val="-4"/>
          <w:sz w:val="24"/>
        </w:rPr>
        <w:t> </w:t>
      </w:r>
      <w:r>
        <w:rPr>
          <w:sz w:val="24"/>
        </w:rPr>
        <w:t>highest</w:t>
      </w:r>
      <w:r>
        <w:rPr>
          <w:spacing w:val="-4"/>
          <w:sz w:val="24"/>
        </w:rPr>
        <w:t> </w:t>
      </w:r>
      <w:r>
        <w:rPr>
          <w:sz w:val="24"/>
        </w:rPr>
        <w:t>(Tata</w:t>
      </w:r>
      <w:r>
        <w:rPr>
          <w:spacing w:val="-4"/>
          <w:sz w:val="24"/>
        </w:rPr>
        <w:t> </w:t>
      </w:r>
      <w:r>
        <w:rPr>
          <w:sz w:val="24"/>
        </w:rPr>
        <w:t>Group)</w:t>
      </w:r>
      <w:r>
        <w:rPr>
          <w:spacing w:val="-4"/>
          <w:sz w:val="24"/>
        </w:rPr>
        <w:t> </w:t>
      </w:r>
      <w:r>
        <w:rPr>
          <w:sz w:val="24"/>
        </w:rPr>
        <w:t>at </w:t>
      </w:r>
      <w:r>
        <w:rPr>
          <w:spacing w:val="-2"/>
          <w:sz w:val="24"/>
        </w:rPr>
        <w:t>21.58.</w:t>
      </w:r>
    </w:p>
    <w:p>
      <w:pPr>
        <w:pStyle w:val="BodyText"/>
        <w:spacing w:before="44"/>
      </w:pPr>
    </w:p>
    <w:p>
      <w:pPr>
        <w:pStyle w:val="ListParagraph"/>
        <w:numPr>
          <w:ilvl w:val="0"/>
          <w:numId w:val="23"/>
        </w:numPr>
        <w:tabs>
          <w:tab w:pos="386" w:val="left" w:leader="none"/>
        </w:tabs>
        <w:spacing w:line="208" w:lineRule="auto" w:before="0" w:after="0"/>
        <w:ind w:left="120" w:right="1767" w:firstLine="0"/>
        <w:jc w:val="left"/>
        <w:rPr>
          <w:sz w:val="24"/>
        </w:rPr>
      </w:pPr>
      <w:r>
        <w:rPr>
          <w:rFonts w:ascii="Arial"/>
          <w:b/>
          <w:sz w:val="24"/>
        </w:rPr>
        <w:t>Working</w:t>
      </w:r>
      <w:r>
        <w:rPr>
          <w:rFonts w:ascii="Arial"/>
          <w:b/>
          <w:spacing w:val="-4"/>
          <w:sz w:val="24"/>
        </w:rPr>
        <w:t> </w:t>
      </w:r>
      <w:r>
        <w:rPr>
          <w:rFonts w:ascii="Arial"/>
          <w:b/>
          <w:sz w:val="24"/>
        </w:rPr>
        <w:t>Capital</w:t>
      </w:r>
      <w:r>
        <w:rPr>
          <w:rFonts w:ascii="Arial"/>
          <w:b/>
          <w:spacing w:val="-4"/>
          <w:sz w:val="24"/>
        </w:rPr>
        <w:t> </w:t>
      </w:r>
      <w:r>
        <w:rPr>
          <w:rFonts w:ascii="Arial"/>
          <w:b/>
          <w:sz w:val="24"/>
        </w:rPr>
        <w:t>Efficiency:</w:t>
      </w:r>
      <w:r>
        <w:rPr>
          <w:rFonts w:ascii="Arial"/>
          <w:b/>
          <w:spacing w:val="-4"/>
          <w:sz w:val="24"/>
        </w:rPr>
        <w:t> </w:t>
      </w:r>
      <w:r>
        <w:rPr>
          <w:sz w:val="24"/>
        </w:rPr>
        <w:t>RIL</w:t>
      </w:r>
      <w:r>
        <w:rPr>
          <w:spacing w:val="-4"/>
          <w:sz w:val="24"/>
        </w:rPr>
        <w:t> </w:t>
      </w:r>
      <w:r>
        <w:rPr>
          <w:sz w:val="24"/>
        </w:rPr>
        <w:t>maintains</w:t>
      </w:r>
      <w:r>
        <w:rPr>
          <w:spacing w:val="-4"/>
          <w:sz w:val="24"/>
        </w:rPr>
        <w:t> </w:t>
      </w:r>
      <w:r>
        <w:rPr>
          <w:sz w:val="24"/>
        </w:rPr>
        <w:t>the</w:t>
      </w:r>
      <w:r>
        <w:rPr>
          <w:spacing w:val="-4"/>
          <w:sz w:val="24"/>
        </w:rPr>
        <w:t> </w:t>
      </w:r>
      <w:r>
        <w:rPr>
          <w:sz w:val="24"/>
        </w:rPr>
        <w:t>lowest</w:t>
      </w:r>
      <w:r>
        <w:rPr>
          <w:spacing w:val="-4"/>
          <w:sz w:val="24"/>
        </w:rPr>
        <w:t> </w:t>
      </w:r>
      <w:r>
        <w:rPr>
          <w:sz w:val="24"/>
        </w:rPr>
        <w:t>working</w:t>
      </w:r>
      <w:r>
        <w:rPr>
          <w:spacing w:val="-4"/>
          <w:sz w:val="24"/>
        </w:rPr>
        <w:t> </w:t>
      </w:r>
      <w:r>
        <w:rPr>
          <w:sz w:val="24"/>
        </w:rPr>
        <w:t>capital</w:t>
      </w:r>
      <w:r>
        <w:rPr>
          <w:spacing w:val="-4"/>
          <w:sz w:val="24"/>
        </w:rPr>
        <w:t> </w:t>
      </w:r>
      <w:r>
        <w:rPr>
          <w:sz w:val="24"/>
        </w:rPr>
        <w:t>to</w:t>
      </w:r>
      <w:r>
        <w:rPr>
          <w:spacing w:val="-4"/>
          <w:sz w:val="24"/>
        </w:rPr>
        <w:t> </w:t>
      </w:r>
      <w:r>
        <w:rPr>
          <w:sz w:val="24"/>
        </w:rPr>
        <w:t>revenue ratio (12.4%) among its peers, indicating superior efficiency in working capital </w:t>
      </w:r>
      <w:r>
        <w:rPr>
          <w:spacing w:val="-2"/>
          <w:sz w:val="24"/>
        </w:rPr>
        <w:t>utilization.</w:t>
      </w:r>
    </w:p>
    <w:p>
      <w:pPr>
        <w:pStyle w:val="BodyText"/>
        <w:spacing w:before="44"/>
      </w:pPr>
    </w:p>
    <w:p>
      <w:pPr>
        <w:pStyle w:val="ListParagraph"/>
        <w:numPr>
          <w:ilvl w:val="0"/>
          <w:numId w:val="23"/>
        </w:numPr>
        <w:tabs>
          <w:tab w:pos="386" w:val="left" w:leader="none"/>
        </w:tabs>
        <w:spacing w:line="208" w:lineRule="auto" w:before="0" w:after="0"/>
        <w:ind w:left="120" w:right="1669" w:firstLine="0"/>
        <w:jc w:val="left"/>
        <w:rPr>
          <w:sz w:val="24"/>
        </w:rPr>
      </w:pPr>
      <w:r>
        <w:rPr>
          <w:rFonts w:ascii="Arial"/>
          <w:b/>
          <w:sz w:val="24"/>
        </w:rPr>
        <w:t>Returns</w:t>
      </w:r>
      <w:r>
        <w:rPr>
          <w:rFonts w:ascii="Arial"/>
          <w:b/>
          <w:spacing w:val="-4"/>
          <w:sz w:val="24"/>
        </w:rPr>
        <w:t> </w:t>
      </w:r>
      <w:r>
        <w:rPr>
          <w:rFonts w:ascii="Arial"/>
          <w:b/>
          <w:sz w:val="24"/>
        </w:rPr>
        <w:t>on</w:t>
      </w:r>
      <w:r>
        <w:rPr>
          <w:rFonts w:ascii="Arial"/>
          <w:b/>
          <w:spacing w:val="-4"/>
          <w:sz w:val="24"/>
        </w:rPr>
        <w:t> </w:t>
      </w:r>
      <w:r>
        <w:rPr>
          <w:rFonts w:ascii="Arial"/>
          <w:b/>
          <w:sz w:val="24"/>
        </w:rPr>
        <w:t>Working</w:t>
      </w:r>
      <w:r>
        <w:rPr>
          <w:rFonts w:ascii="Arial"/>
          <w:b/>
          <w:spacing w:val="-4"/>
          <w:sz w:val="24"/>
        </w:rPr>
        <w:t> </w:t>
      </w:r>
      <w:r>
        <w:rPr>
          <w:rFonts w:ascii="Arial"/>
          <w:b/>
          <w:sz w:val="24"/>
        </w:rPr>
        <w:t>Capital:</w:t>
      </w:r>
      <w:r>
        <w:rPr>
          <w:rFonts w:ascii="Arial"/>
          <w:b/>
          <w:spacing w:val="-4"/>
          <w:sz w:val="24"/>
        </w:rPr>
        <w:t> </w:t>
      </w:r>
      <w:r>
        <w:rPr>
          <w:sz w:val="24"/>
        </w:rPr>
        <w:t>RIL's</w:t>
      </w:r>
      <w:r>
        <w:rPr>
          <w:spacing w:val="-4"/>
          <w:sz w:val="24"/>
        </w:rPr>
        <w:t> </w:t>
      </w:r>
      <w:r>
        <w:rPr>
          <w:sz w:val="24"/>
        </w:rPr>
        <w:t>return</w:t>
      </w:r>
      <w:r>
        <w:rPr>
          <w:spacing w:val="-4"/>
          <w:sz w:val="24"/>
        </w:rPr>
        <w:t> </w:t>
      </w:r>
      <w:r>
        <w:rPr>
          <w:sz w:val="24"/>
        </w:rPr>
        <w:t>on</w:t>
      </w:r>
      <w:r>
        <w:rPr>
          <w:spacing w:val="-4"/>
          <w:sz w:val="24"/>
        </w:rPr>
        <w:t> </w:t>
      </w:r>
      <w:r>
        <w:rPr>
          <w:sz w:val="24"/>
        </w:rPr>
        <w:t>working</w:t>
      </w:r>
      <w:r>
        <w:rPr>
          <w:spacing w:val="-4"/>
          <w:sz w:val="24"/>
        </w:rPr>
        <w:t> </w:t>
      </w:r>
      <w:r>
        <w:rPr>
          <w:sz w:val="24"/>
        </w:rPr>
        <w:t>capital</w:t>
      </w:r>
      <w:r>
        <w:rPr>
          <w:spacing w:val="-4"/>
          <w:sz w:val="24"/>
        </w:rPr>
        <w:t> </w:t>
      </w:r>
      <w:r>
        <w:rPr>
          <w:sz w:val="24"/>
        </w:rPr>
        <w:t>(86.0%)</w:t>
      </w:r>
      <w:r>
        <w:rPr>
          <w:spacing w:val="-4"/>
          <w:sz w:val="24"/>
        </w:rPr>
        <w:t> </w:t>
      </w:r>
      <w:r>
        <w:rPr>
          <w:sz w:val="24"/>
        </w:rPr>
        <w:t>significantly exceeds peer group performance, with the next best performer (Tata Group) at </w:t>
      </w:r>
      <w:r>
        <w:rPr>
          <w:spacing w:val="-2"/>
          <w:sz w:val="24"/>
        </w:rPr>
        <w:t>72.4%.</w:t>
      </w:r>
    </w:p>
    <w:p>
      <w:pPr>
        <w:pStyle w:val="BodyText"/>
        <w:spacing w:before="57"/>
      </w:pPr>
    </w:p>
    <w:p>
      <w:pPr>
        <w:pStyle w:val="Heading3"/>
        <w:numPr>
          <w:ilvl w:val="2"/>
          <w:numId w:val="3"/>
        </w:numPr>
        <w:tabs>
          <w:tab w:pos="820" w:val="left" w:leader="none"/>
        </w:tabs>
        <w:spacing w:line="240" w:lineRule="auto" w:before="0" w:after="0"/>
        <w:ind w:left="820" w:right="0" w:hanging="700"/>
        <w:jc w:val="left"/>
      </w:pPr>
      <w:r>
        <w:rPr/>
        <w:t>Comparison with Global Oil and Gas </w:t>
      </w:r>
      <w:r>
        <w:rPr>
          <w:spacing w:val="-2"/>
        </w:rPr>
        <w:t>Majors</w:t>
      </w:r>
    </w:p>
    <w:p>
      <w:pPr>
        <w:pStyle w:val="BodyText"/>
        <w:spacing w:line="208" w:lineRule="auto" w:before="305"/>
        <w:ind w:left="120" w:right="1633"/>
      </w:pPr>
      <w:r>
        <w:rPr/>
        <w:t>Table</w:t>
      </w:r>
      <w:r>
        <w:rPr>
          <w:spacing w:val="-4"/>
        </w:rPr>
        <w:t> </w:t>
      </w:r>
      <w:r>
        <w:rPr/>
        <w:t>5.11</w:t>
      </w:r>
      <w:r>
        <w:rPr>
          <w:spacing w:val="-4"/>
        </w:rPr>
        <w:t> </w:t>
      </w:r>
      <w:r>
        <w:rPr/>
        <w:t>compares</w:t>
      </w:r>
      <w:r>
        <w:rPr>
          <w:spacing w:val="-4"/>
        </w:rPr>
        <w:t> </w:t>
      </w:r>
      <w:r>
        <w:rPr/>
        <w:t>RIL's</w:t>
      </w:r>
      <w:r>
        <w:rPr>
          <w:spacing w:val="-4"/>
        </w:rPr>
        <w:t> </w:t>
      </w:r>
      <w:r>
        <w:rPr/>
        <w:t>O2C</w:t>
      </w:r>
      <w:r>
        <w:rPr>
          <w:spacing w:val="-4"/>
        </w:rPr>
        <w:t> </w:t>
      </w:r>
      <w:r>
        <w:rPr/>
        <w:t>segment</w:t>
      </w:r>
      <w:r>
        <w:rPr>
          <w:spacing w:val="-4"/>
        </w:rPr>
        <w:t> </w:t>
      </w:r>
      <w:r>
        <w:rPr/>
        <w:t>working</w:t>
      </w:r>
      <w:r>
        <w:rPr>
          <w:spacing w:val="-4"/>
        </w:rPr>
        <w:t> </w:t>
      </w:r>
      <w:r>
        <w:rPr/>
        <w:t>capital</w:t>
      </w:r>
      <w:r>
        <w:rPr>
          <w:spacing w:val="-4"/>
        </w:rPr>
        <w:t> </w:t>
      </w:r>
      <w:r>
        <w:rPr/>
        <w:t>metrics</w:t>
      </w:r>
      <w:r>
        <w:rPr>
          <w:spacing w:val="-4"/>
        </w:rPr>
        <w:t> </w:t>
      </w:r>
      <w:r>
        <w:rPr/>
        <w:t>with</w:t>
      </w:r>
      <w:r>
        <w:rPr>
          <w:spacing w:val="-4"/>
        </w:rPr>
        <w:t> </w:t>
      </w:r>
      <w:r>
        <w:rPr/>
        <w:t>global</w:t>
      </w:r>
      <w:r>
        <w:rPr>
          <w:spacing w:val="-4"/>
        </w:rPr>
        <w:t> </w:t>
      </w:r>
      <w:r>
        <w:rPr/>
        <w:t>oil</w:t>
      </w:r>
      <w:r>
        <w:rPr>
          <w:spacing w:val="-4"/>
        </w:rPr>
        <w:t> </w:t>
      </w:r>
      <w:r>
        <w:rPr/>
        <w:t>and gas majors:</w:t>
      </w:r>
    </w:p>
    <w:p>
      <w:pPr>
        <w:pStyle w:val="BodyText"/>
        <w:spacing w:before="43"/>
      </w:pPr>
    </w:p>
    <w:p>
      <w:pPr>
        <w:spacing w:line="208" w:lineRule="auto" w:before="0"/>
        <w:ind w:left="120" w:right="2876" w:firstLine="0"/>
        <w:jc w:val="left"/>
        <w:rPr>
          <w:rFonts w:ascii="Arial"/>
          <w:b/>
          <w:sz w:val="24"/>
        </w:rPr>
      </w:pPr>
      <w:r>
        <w:rPr>
          <w:rFonts w:ascii="Arial"/>
          <w:b/>
          <w:sz w:val="24"/>
        </w:rPr>
        <w:t>Table</w:t>
      </w:r>
      <w:r>
        <w:rPr>
          <w:rFonts w:ascii="Arial"/>
          <w:b/>
          <w:spacing w:val="-4"/>
          <w:sz w:val="24"/>
        </w:rPr>
        <w:t> </w:t>
      </w:r>
      <w:r>
        <w:rPr>
          <w:rFonts w:ascii="Arial"/>
          <w:b/>
          <w:sz w:val="24"/>
        </w:rPr>
        <w:t>5.11:</w:t>
      </w:r>
      <w:r>
        <w:rPr>
          <w:rFonts w:ascii="Arial"/>
          <w:b/>
          <w:spacing w:val="-4"/>
          <w:sz w:val="24"/>
        </w:rPr>
        <w:t> </w:t>
      </w:r>
      <w:r>
        <w:rPr>
          <w:rFonts w:ascii="Arial"/>
          <w:b/>
          <w:sz w:val="24"/>
        </w:rPr>
        <w:t>Working</w:t>
      </w:r>
      <w:r>
        <w:rPr>
          <w:rFonts w:ascii="Arial"/>
          <w:b/>
          <w:spacing w:val="-4"/>
          <w:sz w:val="24"/>
        </w:rPr>
        <w:t> </w:t>
      </w:r>
      <w:r>
        <w:rPr>
          <w:rFonts w:ascii="Arial"/>
          <w:b/>
          <w:sz w:val="24"/>
        </w:rPr>
        <w:t>Capital</w:t>
      </w:r>
      <w:r>
        <w:rPr>
          <w:rFonts w:ascii="Arial"/>
          <w:b/>
          <w:spacing w:val="-4"/>
          <w:sz w:val="24"/>
        </w:rPr>
        <w:t> </w:t>
      </w:r>
      <w:r>
        <w:rPr>
          <w:rFonts w:ascii="Arial"/>
          <w:b/>
          <w:sz w:val="24"/>
        </w:rPr>
        <w:t>Comparison</w:t>
      </w:r>
      <w:r>
        <w:rPr>
          <w:rFonts w:ascii="Arial"/>
          <w:b/>
          <w:spacing w:val="-4"/>
          <w:sz w:val="24"/>
        </w:rPr>
        <w:t> </w:t>
      </w:r>
      <w:r>
        <w:rPr>
          <w:rFonts w:ascii="Arial"/>
          <w:b/>
          <w:sz w:val="24"/>
        </w:rPr>
        <w:t>-</w:t>
      </w:r>
      <w:r>
        <w:rPr>
          <w:rFonts w:ascii="Arial"/>
          <w:b/>
          <w:spacing w:val="-4"/>
          <w:sz w:val="24"/>
        </w:rPr>
        <w:t> </w:t>
      </w:r>
      <w:r>
        <w:rPr>
          <w:rFonts w:ascii="Arial"/>
          <w:b/>
          <w:sz w:val="24"/>
        </w:rPr>
        <w:t>Global</w:t>
      </w:r>
      <w:r>
        <w:rPr>
          <w:rFonts w:ascii="Arial"/>
          <w:b/>
          <w:spacing w:val="-4"/>
          <w:sz w:val="24"/>
        </w:rPr>
        <w:t> </w:t>
      </w:r>
      <w:r>
        <w:rPr>
          <w:rFonts w:ascii="Arial"/>
          <w:b/>
          <w:sz w:val="24"/>
        </w:rPr>
        <w:t>Oil</w:t>
      </w:r>
      <w:r>
        <w:rPr>
          <w:rFonts w:ascii="Arial"/>
          <w:b/>
          <w:spacing w:val="-4"/>
          <w:sz w:val="24"/>
        </w:rPr>
        <w:t> </w:t>
      </w:r>
      <w:r>
        <w:rPr>
          <w:rFonts w:ascii="Arial"/>
          <w:b/>
          <w:sz w:val="24"/>
        </w:rPr>
        <w:t>and</w:t>
      </w:r>
      <w:r>
        <w:rPr>
          <w:rFonts w:ascii="Arial"/>
          <w:b/>
          <w:spacing w:val="-4"/>
          <w:sz w:val="24"/>
        </w:rPr>
        <w:t> </w:t>
      </w:r>
      <w:r>
        <w:rPr>
          <w:rFonts w:ascii="Arial"/>
          <w:b/>
          <w:sz w:val="24"/>
        </w:rPr>
        <w:t>Gas</w:t>
      </w:r>
      <w:r>
        <w:rPr>
          <w:rFonts w:ascii="Arial"/>
          <w:b/>
          <w:spacing w:val="-4"/>
          <w:sz w:val="24"/>
        </w:rPr>
        <w:t> </w:t>
      </w:r>
      <w:r>
        <w:rPr>
          <w:rFonts w:ascii="Arial"/>
          <w:b/>
          <w:sz w:val="24"/>
        </w:rPr>
        <w:t>Majors </w:t>
      </w:r>
      <w:r>
        <w:rPr>
          <w:rFonts w:ascii="Arial"/>
          <w:b/>
          <w:spacing w:val="-2"/>
          <w:sz w:val="24"/>
        </w:rPr>
        <w:t>(FY2024-25)</w:t>
      </w:r>
    </w:p>
    <w:p>
      <w:pPr>
        <w:pStyle w:val="BodyText"/>
        <w:spacing w:before="1" w:after="1"/>
        <w:rPr>
          <w:rFonts w:ascii="Arial"/>
          <w:b/>
          <w:sz w:val="13"/>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4"/>
        <w:gridCol w:w="1151"/>
        <w:gridCol w:w="807"/>
        <w:gridCol w:w="807"/>
        <w:gridCol w:w="1274"/>
        <w:gridCol w:w="1474"/>
      </w:tblGrid>
      <w:tr>
        <w:trPr>
          <w:trHeight w:val="350" w:hRule="atLeast"/>
        </w:trPr>
        <w:tc>
          <w:tcPr>
            <w:tcW w:w="2974" w:type="dxa"/>
            <w:shd w:val="clear" w:color="auto" w:fill="D3D3D3"/>
          </w:tcPr>
          <w:p>
            <w:pPr>
              <w:pStyle w:val="TableParagraph"/>
              <w:ind w:left="9"/>
              <w:jc w:val="center"/>
              <w:rPr>
                <w:sz w:val="20"/>
              </w:rPr>
            </w:pPr>
            <w:r>
              <w:rPr>
                <w:spacing w:val="-2"/>
                <w:sz w:val="20"/>
              </w:rPr>
              <w:t>Metric</w:t>
            </w:r>
          </w:p>
        </w:tc>
        <w:tc>
          <w:tcPr>
            <w:tcW w:w="1151" w:type="dxa"/>
            <w:shd w:val="clear" w:color="auto" w:fill="D3D3D3"/>
          </w:tcPr>
          <w:p>
            <w:pPr>
              <w:pStyle w:val="TableParagraph"/>
              <w:ind w:left="119"/>
              <w:rPr>
                <w:sz w:val="20"/>
              </w:rPr>
            </w:pPr>
            <w:r>
              <w:rPr>
                <w:sz w:val="20"/>
              </w:rPr>
              <w:t>RIL </w:t>
            </w:r>
            <w:r>
              <w:rPr>
                <w:spacing w:val="-2"/>
                <w:sz w:val="20"/>
              </w:rPr>
              <w:t>(O2C)</w:t>
            </w:r>
          </w:p>
        </w:tc>
        <w:tc>
          <w:tcPr>
            <w:tcW w:w="807" w:type="dxa"/>
            <w:shd w:val="clear" w:color="auto" w:fill="D3D3D3"/>
          </w:tcPr>
          <w:p>
            <w:pPr>
              <w:pStyle w:val="TableParagraph"/>
              <w:ind w:left="181"/>
              <w:rPr>
                <w:sz w:val="20"/>
              </w:rPr>
            </w:pPr>
            <w:r>
              <w:rPr>
                <w:spacing w:val="-2"/>
                <w:sz w:val="20"/>
              </w:rPr>
              <w:t>Shell</w:t>
            </w:r>
          </w:p>
        </w:tc>
        <w:tc>
          <w:tcPr>
            <w:tcW w:w="807" w:type="dxa"/>
            <w:shd w:val="clear" w:color="auto" w:fill="D3D3D3"/>
          </w:tcPr>
          <w:p>
            <w:pPr>
              <w:pStyle w:val="TableParagraph"/>
              <w:ind w:left="0" w:right="258"/>
              <w:jc w:val="right"/>
              <w:rPr>
                <w:sz w:val="20"/>
              </w:rPr>
            </w:pPr>
            <w:r>
              <w:rPr>
                <w:spacing w:val="-5"/>
                <w:sz w:val="20"/>
              </w:rPr>
              <w:t>BP</w:t>
            </w:r>
          </w:p>
        </w:tc>
        <w:tc>
          <w:tcPr>
            <w:tcW w:w="1274" w:type="dxa"/>
            <w:shd w:val="clear" w:color="auto" w:fill="D3D3D3"/>
          </w:tcPr>
          <w:p>
            <w:pPr>
              <w:pStyle w:val="TableParagraph"/>
              <w:ind w:left="119"/>
              <w:rPr>
                <w:sz w:val="20"/>
              </w:rPr>
            </w:pPr>
            <w:r>
              <w:rPr>
                <w:spacing w:val="-2"/>
                <w:sz w:val="20"/>
              </w:rPr>
              <w:t>ExxonMobil</w:t>
            </w:r>
          </w:p>
        </w:tc>
        <w:tc>
          <w:tcPr>
            <w:tcW w:w="1474" w:type="dxa"/>
            <w:shd w:val="clear" w:color="auto" w:fill="D3D3D3"/>
          </w:tcPr>
          <w:p>
            <w:pPr>
              <w:pStyle w:val="TableParagraph"/>
              <w:ind w:left="119"/>
              <w:rPr>
                <w:sz w:val="20"/>
              </w:rPr>
            </w:pPr>
            <w:r>
              <w:rPr>
                <w:spacing w:val="-2"/>
                <w:sz w:val="20"/>
              </w:rPr>
              <w:t>TotalEnergies</w:t>
            </w:r>
          </w:p>
        </w:tc>
      </w:tr>
      <w:tr>
        <w:trPr>
          <w:trHeight w:val="350" w:hRule="atLeast"/>
        </w:trPr>
        <w:tc>
          <w:tcPr>
            <w:tcW w:w="2974" w:type="dxa"/>
          </w:tcPr>
          <w:p>
            <w:pPr>
              <w:pStyle w:val="TableParagraph"/>
              <w:rPr>
                <w:sz w:val="20"/>
              </w:rPr>
            </w:pPr>
            <w:r>
              <w:rPr>
                <w:sz w:val="20"/>
              </w:rPr>
              <w:t>Inventory </w:t>
            </w:r>
            <w:r>
              <w:rPr>
                <w:spacing w:val="-4"/>
                <w:sz w:val="20"/>
              </w:rPr>
              <w:t>Days</w:t>
            </w:r>
          </w:p>
        </w:tc>
        <w:tc>
          <w:tcPr>
            <w:tcW w:w="1151" w:type="dxa"/>
          </w:tcPr>
          <w:p>
            <w:pPr>
              <w:pStyle w:val="TableParagraph"/>
              <w:ind w:left="119"/>
              <w:rPr>
                <w:sz w:val="20"/>
              </w:rPr>
            </w:pPr>
            <w:r>
              <w:rPr>
                <w:spacing w:val="-4"/>
                <w:sz w:val="20"/>
              </w:rPr>
              <w:t>43.7</w:t>
            </w:r>
          </w:p>
        </w:tc>
        <w:tc>
          <w:tcPr>
            <w:tcW w:w="807" w:type="dxa"/>
          </w:tcPr>
          <w:p>
            <w:pPr>
              <w:pStyle w:val="TableParagraph"/>
              <w:rPr>
                <w:sz w:val="20"/>
              </w:rPr>
            </w:pPr>
            <w:r>
              <w:rPr>
                <w:spacing w:val="-4"/>
                <w:sz w:val="20"/>
              </w:rPr>
              <w:t>45.3</w:t>
            </w:r>
          </w:p>
        </w:tc>
        <w:tc>
          <w:tcPr>
            <w:tcW w:w="807" w:type="dxa"/>
          </w:tcPr>
          <w:p>
            <w:pPr>
              <w:pStyle w:val="TableParagraph"/>
              <w:ind w:left="0" w:right="285"/>
              <w:jc w:val="right"/>
              <w:rPr>
                <w:sz w:val="20"/>
              </w:rPr>
            </w:pPr>
            <w:r>
              <w:rPr>
                <w:spacing w:val="-4"/>
                <w:sz w:val="20"/>
              </w:rPr>
              <w:t>47.8</w:t>
            </w:r>
          </w:p>
        </w:tc>
        <w:tc>
          <w:tcPr>
            <w:tcW w:w="1274" w:type="dxa"/>
          </w:tcPr>
          <w:p>
            <w:pPr>
              <w:pStyle w:val="TableParagraph"/>
              <w:ind w:left="119"/>
              <w:rPr>
                <w:sz w:val="20"/>
              </w:rPr>
            </w:pPr>
            <w:r>
              <w:rPr>
                <w:spacing w:val="-4"/>
                <w:sz w:val="20"/>
              </w:rPr>
              <w:t>41.2</w:t>
            </w:r>
          </w:p>
        </w:tc>
        <w:tc>
          <w:tcPr>
            <w:tcW w:w="1474" w:type="dxa"/>
          </w:tcPr>
          <w:p>
            <w:pPr>
              <w:pStyle w:val="TableParagraph"/>
              <w:ind w:left="119"/>
              <w:rPr>
                <w:sz w:val="20"/>
              </w:rPr>
            </w:pPr>
            <w:r>
              <w:rPr>
                <w:spacing w:val="-4"/>
                <w:sz w:val="20"/>
              </w:rPr>
              <w:t>49.5</w:t>
            </w:r>
          </w:p>
        </w:tc>
      </w:tr>
      <w:tr>
        <w:trPr>
          <w:trHeight w:val="350" w:hRule="atLeast"/>
        </w:trPr>
        <w:tc>
          <w:tcPr>
            <w:tcW w:w="2974" w:type="dxa"/>
          </w:tcPr>
          <w:p>
            <w:pPr>
              <w:pStyle w:val="TableParagraph"/>
              <w:rPr>
                <w:sz w:val="20"/>
              </w:rPr>
            </w:pPr>
            <w:r>
              <w:rPr>
                <w:sz w:val="20"/>
              </w:rPr>
              <w:t>Receivables </w:t>
            </w:r>
            <w:r>
              <w:rPr>
                <w:spacing w:val="-4"/>
                <w:sz w:val="20"/>
              </w:rPr>
              <w:t>Days</w:t>
            </w:r>
          </w:p>
        </w:tc>
        <w:tc>
          <w:tcPr>
            <w:tcW w:w="1151" w:type="dxa"/>
          </w:tcPr>
          <w:p>
            <w:pPr>
              <w:pStyle w:val="TableParagraph"/>
              <w:ind w:left="119"/>
              <w:rPr>
                <w:sz w:val="20"/>
              </w:rPr>
            </w:pPr>
            <w:r>
              <w:rPr>
                <w:spacing w:val="-5"/>
                <w:sz w:val="20"/>
              </w:rPr>
              <w:t>7.2</w:t>
            </w:r>
          </w:p>
        </w:tc>
        <w:tc>
          <w:tcPr>
            <w:tcW w:w="807" w:type="dxa"/>
          </w:tcPr>
          <w:p>
            <w:pPr>
              <w:pStyle w:val="TableParagraph"/>
              <w:rPr>
                <w:sz w:val="20"/>
              </w:rPr>
            </w:pPr>
            <w:r>
              <w:rPr>
                <w:spacing w:val="-4"/>
                <w:sz w:val="20"/>
              </w:rPr>
              <w:t>19.4</w:t>
            </w:r>
          </w:p>
        </w:tc>
        <w:tc>
          <w:tcPr>
            <w:tcW w:w="807" w:type="dxa"/>
          </w:tcPr>
          <w:p>
            <w:pPr>
              <w:pStyle w:val="TableParagraph"/>
              <w:ind w:left="0" w:right="285"/>
              <w:jc w:val="right"/>
              <w:rPr>
                <w:sz w:val="20"/>
              </w:rPr>
            </w:pPr>
            <w:r>
              <w:rPr>
                <w:spacing w:val="-4"/>
                <w:sz w:val="20"/>
              </w:rPr>
              <w:t>21.6</w:t>
            </w:r>
          </w:p>
        </w:tc>
        <w:tc>
          <w:tcPr>
            <w:tcW w:w="1274" w:type="dxa"/>
          </w:tcPr>
          <w:p>
            <w:pPr>
              <w:pStyle w:val="TableParagraph"/>
              <w:ind w:left="119"/>
              <w:rPr>
                <w:sz w:val="20"/>
              </w:rPr>
            </w:pPr>
            <w:r>
              <w:rPr>
                <w:spacing w:val="-4"/>
                <w:sz w:val="20"/>
              </w:rPr>
              <w:t>18.7</w:t>
            </w:r>
          </w:p>
        </w:tc>
        <w:tc>
          <w:tcPr>
            <w:tcW w:w="1474" w:type="dxa"/>
          </w:tcPr>
          <w:p>
            <w:pPr>
              <w:pStyle w:val="TableParagraph"/>
              <w:ind w:left="119"/>
              <w:rPr>
                <w:sz w:val="20"/>
              </w:rPr>
            </w:pPr>
            <w:r>
              <w:rPr>
                <w:spacing w:val="-4"/>
                <w:sz w:val="20"/>
              </w:rPr>
              <w:t>23.4</w:t>
            </w:r>
          </w:p>
        </w:tc>
      </w:tr>
      <w:tr>
        <w:trPr>
          <w:trHeight w:val="350" w:hRule="atLeast"/>
        </w:trPr>
        <w:tc>
          <w:tcPr>
            <w:tcW w:w="2974" w:type="dxa"/>
          </w:tcPr>
          <w:p>
            <w:pPr>
              <w:pStyle w:val="TableParagraph"/>
              <w:rPr>
                <w:sz w:val="20"/>
              </w:rPr>
            </w:pPr>
            <w:r>
              <w:rPr>
                <w:sz w:val="20"/>
              </w:rPr>
              <w:t>Payables </w:t>
            </w:r>
            <w:r>
              <w:rPr>
                <w:spacing w:val="-4"/>
                <w:sz w:val="20"/>
              </w:rPr>
              <w:t>Days</w:t>
            </w:r>
          </w:p>
        </w:tc>
        <w:tc>
          <w:tcPr>
            <w:tcW w:w="1151" w:type="dxa"/>
          </w:tcPr>
          <w:p>
            <w:pPr>
              <w:pStyle w:val="TableParagraph"/>
              <w:ind w:left="119"/>
              <w:rPr>
                <w:sz w:val="20"/>
              </w:rPr>
            </w:pPr>
            <w:r>
              <w:rPr>
                <w:spacing w:val="-4"/>
                <w:sz w:val="20"/>
              </w:rPr>
              <w:t>38.2</w:t>
            </w:r>
          </w:p>
        </w:tc>
        <w:tc>
          <w:tcPr>
            <w:tcW w:w="807" w:type="dxa"/>
          </w:tcPr>
          <w:p>
            <w:pPr>
              <w:pStyle w:val="TableParagraph"/>
              <w:rPr>
                <w:sz w:val="20"/>
              </w:rPr>
            </w:pPr>
            <w:r>
              <w:rPr>
                <w:spacing w:val="-4"/>
                <w:sz w:val="20"/>
              </w:rPr>
              <w:t>42.5</w:t>
            </w:r>
          </w:p>
        </w:tc>
        <w:tc>
          <w:tcPr>
            <w:tcW w:w="807" w:type="dxa"/>
          </w:tcPr>
          <w:p>
            <w:pPr>
              <w:pStyle w:val="TableParagraph"/>
              <w:ind w:left="0" w:right="285"/>
              <w:jc w:val="right"/>
              <w:rPr>
                <w:sz w:val="20"/>
              </w:rPr>
            </w:pPr>
            <w:r>
              <w:rPr>
                <w:spacing w:val="-4"/>
                <w:sz w:val="20"/>
              </w:rPr>
              <w:t>39.7</w:t>
            </w:r>
          </w:p>
        </w:tc>
        <w:tc>
          <w:tcPr>
            <w:tcW w:w="1274" w:type="dxa"/>
          </w:tcPr>
          <w:p>
            <w:pPr>
              <w:pStyle w:val="TableParagraph"/>
              <w:ind w:left="119"/>
              <w:rPr>
                <w:sz w:val="20"/>
              </w:rPr>
            </w:pPr>
            <w:r>
              <w:rPr>
                <w:spacing w:val="-4"/>
                <w:sz w:val="20"/>
              </w:rPr>
              <w:t>36.9</w:t>
            </w:r>
          </w:p>
        </w:tc>
        <w:tc>
          <w:tcPr>
            <w:tcW w:w="1474" w:type="dxa"/>
          </w:tcPr>
          <w:p>
            <w:pPr>
              <w:pStyle w:val="TableParagraph"/>
              <w:ind w:left="119"/>
              <w:rPr>
                <w:sz w:val="20"/>
              </w:rPr>
            </w:pPr>
            <w:r>
              <w:rPr>
                <w:spacing w:val="-4"/>
                <w:sz w:val="20"/>
              </w:rPr>
              <w:t>41.3</w:t>
            </w:r>
          </w:p>
        </w:tc>
      </w:tr>
    </w:tbl>
    <w:p>
      <w:pPr>
        <w:pStyle w:val="TableParagraph"/>
        <w:spacing w:after="0"/>
        <w:rPr>
          <w:sz w:val="20"/>
        </w:rPr>
        <w:sectPr>
          <w:type w:val="continuous"/>
          <w:pgSz w:w="12240" w:h="15840"/>
          <w:pgMar w:top="1540" w:bottom="1579" w:left="1440" w:right="0"/>
        </w:sect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4"/>
        <w:gridCol w:w="1151"/>
        <w:gridCol w:w="807"/>
        <w:gridCol w:w="807"/>
        <w:gridCol w:w="1274"/>
        <w:gridCol w:w="1474"/>
      </w:tblGrid>
      <w:tr>
        <w:trPr>
          <w:trHeight w:val="350" w:hRule="atLeast"/>
        </w:trPr>
        <w:tc>
          <w:tcPr>
            <w:tcW w:w="2974" w:type="dxa"/>
          </w:tcPr>
          <w:p>
            <w:pPr>
              <w:pStyle w:val="TableParagraph"/>
              <w:rPr>
                <w:sz w:val="20"/>
              </w:rPr>
            </w:pPr>
            <w:r>
              <w:rPr>
                <w:sz w:val="20"/>
              </w:rPr>
              <w:t>Cash Conversion Cycle </w:t>
            </w:r>
            <w:r>
              <w:rPr>
                <w:spacing w:val="-2"/>
                <w:sz w:val="20"/>
              </w:rPr>
              <w:t>(Days)</w:t>
            </w:r>
          </w:p>
        </w:tc>
        <w:tc>
          <w:tcPr>
            <w:tcW w:w="1151" w:type="dxa"/>
          </w:tcPr>
          <w:p>
            <w:pPr>
              <w:pStyle w:val="TableParagraph"/>
              <w:ind w:left="119"/>
              <w:rPr>
                <w:sz w:val="20"/>
              </w:rPr>
            </w:pPr>
            <w:r>
              <w:rPr>
                <w:spacing w:val="-4"/>
                <w:sz w:val="20"/>
              </w:rPr>
              <w:t>12.7</w:t>
            </w:r>
          </w:p>
        </w:tc>
        <w:tc>
          <w:tcPr>
            <w:tcW w:w="807" w:type="dxa"/>
          </w:tcPr>
          <w:p>
            <w:pPr>
              <w:pStyle w:val="TableParagraph"/>
              <w:rPr>
                <w:sz w:val="20"/>
              </w:rPr>
            </w:pPr>
            <w:r>
              <w:rPr>
                <w:spacing w:val="-4"/>
                <w:sz w:val="20"/>
              </w:rPr>
              <w:t>22.2</w:t>
            </w:r>
          </w:p>
        </w:tc>
        <w:tc>
          <w:tcPr>
            <w:tcW w:w="807" w:type="dxa"/>
          </w:tcPr>
          <w:p>
            <w:pPr>
              <w:pStyle w:val="TableParagraph"/>
              <w:rPr>
                <w:sz w:val="20"/>
              </w:rPr>
            </w:pPr>
            <w:r>
              <w:rPr>
                <w:spacing w:val="-4"/>
                <w:sz w:val="20"/>
              </w:rPr>
              <w:t>29.7</w:t>
            </w:r>
          </w:p>
        </w:tc>
        <w:tc>
          <w:tcPr>
            <w:tcW w:w="1274" w:type="dxa"/>
          </w:tcPr>
          <w:p>
            <w:pPr>
              <w:pStyle w:val="TableParagraph"/>
              <w:ind w:left="119"/>
              <w:rPr>
                <w:sz w:val="20"/>
              </w:rPr>
            </w:pPr>
            <w:r>
              <w:rPr>
                <w:spacing w:val="-4"/>
                <w:sz w:val="20"/>
              </w:rPr>
              <w:t>23.0</w:t>
            </w:r>
          </w:p>
        </w:tc>
        <w:tc>
          <w:tcPr>
            <w:tcW w:w="1474" w:type="dxa"/>
          </w:tcPr>
          <w:p>
            <w:pPr>
              <w:pStyle w:val="TableParagraph"/>
              <w:ind w:left="119"/>
              <w:rPr>
                <w:sz w:val="20"/>
              </w:rPr>
            </w:pPr>
            <w:r>
              <w:rPr>
                <w:spacing w:val="-4"/>
                <w:sz w:val="20"/>
              </w:rPr>
              <w:t>31.6</w:t>
            </w:r>
          </w:p>
        </w:tc>
      </w:tr>
      <w:tr>
        <w:trPr>
          <w:trHeight w:val="350" w:hRule="atLeast"/>
        </w:trPr>
        <w:tc>
          <w:tcPr>
            <w:tcW w:w="2974" w:type="dxa"/>
          </w:tcPr>
          <w:p>
            <w:pPr>
              <w:pStyle w:val="TableParagraph"/>
              <w:rPr>
                <w:sz w:val="20"/>
              </w:rPr>
            </w:pPr>
            <w:r>
              <w:rPr>
                <w:sz w:val="20"/>
              </w:rPr>
              <w:t>Working Capital to </w:t>
            </w:r>
            <w:r>
              <w:rPr>
                <w:spacing w:val="-2"/>
                <w:sz w:val="20"/>
              </w:rPr>
              <w:t>Revenue</w:t>
            </w:r>
          </w:p>
        </w:tc>
        <w:tc>
          <w:tcPr>
            <w:tcW w:w="1151" w:type="dxa"/>
          </w:tcPr>
          <w:p>
            <w:pPr>
              <w:pStyle w:val="TableParagraph"/>
              <w:ind w:left="119"/>
              <w:rPr>
                <w:sz w:val="20"/>
              </w:rPr>
            </w:pPr>
            <w:r>
              <w:rPr>
                <w:spacing w:val="-2"/>
                <w:sz w:val="20"/>
              </w:rPr>
              <w:t>10.9%</w:t>
            </w:r>
          </w:p>
        </w:tc>
        <w:tc>
          <w:tcPr>
            <w:tcW w:w="807" w:type="dxa"/>
          </w:tcPr>
          <w:p>
            <w:pPr>
              <w:pStyle w:val="TableParagraph"/>
              <w:rPr>
                <w:sz w:val="20"/>
              </w:rPr>
            </w:pPr>
            <w:r>
              <w:rPr>
                <w:spacing w:val="-2"/>
                <w:sz w:val="20"/>
              </w:rPr>
              <w:t>13.4%</w:t>
            </w:r>
          </w:p>
        </w:tc>
        <w:tc>
          <w:tcPr>
            <w:tcW w:w="807" w:type="dxa"/>
          </w:tcPr>
          <w:p>
            <w:pPr>
              <w:pStyle w:val="TableParagraph"/>
              <w:rPr>
                <w:sz w:val="20"/>
              </w:rPr>
            </w:pPr>
            <w:r>
              <w:rPr>
                <w:spacing w:val="-2"/>
                <w:sz w:val="20"/>
              </w:rPr>
              <w:t>14.7%</w:t>
            </w:r>
          </w:p>
        </w:tc>
        <w:tc>
          <w:tcPr>
            <w:tcW w:w="1274" w:type="dxa"/>
          </w:tcPr>
          <w:p>
            <w:pPr>
              <w:pStyle w:val="TableParagraph"/>
              <w:ind w:left="119"/>
              <w:rPr>
                <w:sz w:val="20"/>
              </w:rPr>
            </w:pPr>
            <w:r>
              <w:rPr>
                <w:spacing w:val="-2"/>
                <w:sz w:val="20"/>
              </w:rPr>
              <w:t>12.8%</w:t>
            </w:r>
          </w:p>
        </w:tc>
        <w:tc>
          <w:tcPr>
            <w:tcW w:w="1474" w:type="dxa"/>
          </w:tcPr>
          <w:p>
            <w:pPr>
              <w:pStyle w:val="TableParagraph"/>
              <w:spacing w:before="0"/>
              <w:ind w:left="0"/>
              <w:rPr>
                <w:rFonts w:ascii="Times New Roman"/>
                <w:sz w:val="20"/>
              </w:rPr>
            </w:pPr>
          </w:p>
        </w:tc>
      </w:tr>
    </w:tbl>
    <w:sectPr>
      <w:type w:val="continuous"/>
      <w:pgSz w:w="12240" w:h="15840"/>
      <w:pgMar w:top="1540" w:bottom="280" w:left="144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S Gothic">
    <w:altName w:val="MS Gothic"/>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267"/>
      </w:pPr>
      <w:rPr>
        <w:rFonts w:hint="default"/>
        <w:lang w:val="en-US" w:eastAsia="en-US" w:bidi="ar-SA"/>
      </w:rPr>
    </w:lvl>
    <w:lvl w:ilvl="2">
      <w:start w:val="0"/>
      <w:numFmt w:val="bullet"/>
      <w:lvlText w:val="•"/>
      <w:lvlJc w:val="left"/>
      <w:pPr>
        <w:ind w:left="2256" w:hanging="267"/>
      </w:pPr>
      <w:rPr>
        <w:rFonts w:hint="default"/>
        <w:lang w:val="en-US" w:eastAsia="en-US" w:bidi="ar-SA"/>
      </w:rPr>
    </w:lvl>
    <w:lvl w:ilvl="3">
      <w:start w:val="0"/>
      <w:numFmt w:val="bullet"/>
      <w:lvlText w:val="•"/>
      <w:lvlJc w:val="left"/>
      <w:pPr>
        <w:ind w:left="3324" w:hanging="267"/>
      </w:pPr>
      <w:rPr>
        <w:rFonts w:hint="default"/>
        <w:lang w:val="en-US" w:eastAsia="en-US" w:bidi="ar-SA"/>
      </w:rPr>
    </w:lvl>
    <w:lvl w:ilvl="4">
      <w:start w:val="0"/>
      <w:numFmt w:val="bullet"/>
      <w:lvlText w:val="•"/>
      <w:lvlJc w:val="left"/>
      <w:pPr>
        <w:ind w:left="4392"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528" w:hanging="267"/>
      </w:pPr>
      <w:rPr>
        <w:rFonts w:hint="default"/>
        <w:lang w:val="en-US" w:eastAsia="en-US" w:bidi="ar-SA"/>
      </w:rPr>
    </w:lvl>
    <w:lvl w:ilvl="7">
      <w:start w:val="0"/>
      <w:numFmt w:val="bullet"/>
      <w:lvlText w:val="•"/>
      <w:lvlJc w:val="left"/>
      <w:pPr>
        <w:ind w:left="7596" w:hanging="267"/>
      </w:pPr>
      <w:rPr>
        <w:rFonts w:hint="default"/>
        <w:lang w:val="en-US" w:eastAsia="en-US" w:bidi="ar-SA"/>
      </w:rPr>
    </w:lvl>
    <w:lvl w:ilvl="8">
      <w:start w:val="0"/>
      <w:numFmt w:val="bullet"/>
      <w:lvlText w:val="•"/>
      <w:lvlJc w:val="left"/>
      <w:pPr>
        <w:ind w:left="8664" w:hanging="267"/>
      </w:pPr>
      <w:rPr>
        <w:rFonts w:hint="default"/>
        <w:lang w:val="en-US" w:eastAsia="en-US" w:bidi="ar-SA"/>
      </w:rPr>
    </w:lvl>
  </w:abstractNum>
  <w:abstractNum w:abstractNumId="21">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267"/>
      </w:pPr>
      <w:rPr>
        <w:rFonts w:hint="default"/>
        <w:lang w:val="en-US" w:eastAsia="en-US" w:bidi="ar-SA"/>
      </w:rPr>
    </w:lvl>
    <w:lvl w:ilvl="2">
      <w:start w:val="0"/>
      <w:numFmt w:val="bullet"/>
      <w:lvlText w:val="•"/>
      <w:lvlJc w:val="left"/>
      <w:pPr>
        <w:ind w:left="2256" w:hanging="267"/>
      </w:pPr>
      <w:rPr>
        <w:rFonts w:hint="default"/>
        <w:lang w:val="en-US" w:eastAsia="en-US" w:bidi="ar-SA"/>
      </w:rPr>
    </w:lvl>
    <w:lvl w:ilvl="3">
      <w:start w:val="0"/>
      <w:numFmt w:val="bullet"/>
      <w:lvlText w:val="•"/>
      <w:lvlJc w:val="left"/>
      <w:pPr>
        <w:ind w:left="3324" w:hanging="267"/>
      </w:pPr>
      <w:rPr>
        <w:rFonts w:hint="default"/>
        <w:lang w:val="en-US" w:eastAsia="en-US" w:bidi="ar-SA"/>
      </w:rPr>
    </w:lvl>
    <w:lvl w:ilvl="4">
      <w:start w:val="0"/>
      <w:numFmt w:val="bullet"/>
      <w:lvlText w:val="•"/>
      <w:lvlJc w:val="left"/>
      <w:pPr>
        <w:ind w:left="4392"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528" w:hanging="267"/>
      </w:pPr>
      <w:rPr>
        <w:rFonts w:hint="default"/>
        <w:lang w:val="en-US" w:eastAsia="en-US" w:bidi="ar-SA"/>
      </w:rPr>
    </w:lvl>
    <w:lvl w:ilvl="7">
      <w:start w:val="0"/>
      <w:numFmt w:val="bullet"/>
      <w:lvlText w:val="•"/>
      <w:lvlJc w:val="left"/>
      <w:pPr>
        <w:ind w:left="7596" w:hanging="267"/>
      </w:pPr>
      <w:rPr>
        <w:rFonts w:hint="default"/>
        <w:lang w:val="en-US" w:eastAsia="en-US" w:bidi="ar-SA"/>
      </w:rPr>
    </w:lvl>
    <w:lvl w:ilvl="8">
      <w:start w:val="0"/>
      <w:numFmt w:val="bullet"/>
      <w:lvlText w:val="•"/>
      <w:lvlJc w:val="left"/>
      <w:pPr>
        <w:ind w:left="8664" w:hanging="267"/>
      </w:pPr>
      <w:rPr>
        <w:rFonts w:hint="default"/>
        <w:lang w:val="en-US" w:eastAsia="en-US" w:bidi="ar-SA"/>
      </w:rPr>
    </w:lvl>
  </w:abstractNum>
  <w:abstractNum w:abstractNumId="20">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267"/>
      </w:pPr>
      <w:rPr>
        <w:rFonts w:hint="default"/>
        <w:lang w:val="en-US" w:eastAsia="en-US" w:bidi="ar-SA"/>
      </w:rPr>
    </w:lvl>
    <w:lvl w:ilvl="2">
      <w:start w:val="0"/>
      <w:numFmt w:val="bullet"/>
      <w:lvlText w:val="•"/>
      <w:lvlJc w:val="left"/>
      <w:pPr>
        <w:ind w:left="2256" w:hanging="267"/>
      </w:pPr>
      <w:rPr>
        <w:rFonts w:hint="default"/>
        <w:lang w:val="en-US" w:eastAsia="en-US" w:bidi="ar-SA"/>
      </w:rPr>
    </w:lvl>
    <w:lvl w:ilvl="3">
      <w:start w:val="0"/>
      <w:numFmt w:val="bullet"/>
      <w:lvlText w:val="•"/>
      <w:lvlJc w:val="left"/>
      <w:pPr>
        <w:ind w:left="3324" w:hanging="267"/>
      </w:pPr>
      <w:rPr>
        <w:rFonts w:hint="default"/>
        <w:lang w:val="en-US" w:eastAsia="en-US" w:bidi="ar-SA"/>
      </w:rPr>
    </w:lvl>
    <w:lvl w:ilvl="4">
      <w:start w:val="0"/>
      <w:numFmt w:val="bullet"/>
      <w:lvlText w:val="•"/>
      <w:lvlJc w:val="left"/>
      <w:pPr>
        <w:ind w:left="4392"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528" w:hanging="267"/>
      </w:pPr>
      <w:rPr>
        <w:rFonts w:hint="default"/>
        <w:lang w:val="en-US" w:eastAsia="en-US" w:bidi="ar-SA"/>
      </w:rPr>
    </w:lvl>
    <w:lvl w:ilvl="7">
      <w:start w:val="0"/>
      <w:numFmt w:val="bullet"/>
      <w:lvlText w:val="•"/>
      <w:lvlJc w:val="left"/>
      <w:pPr>
        <w:ind w:left="7596" w:hanging="267"/>
      </w:pPr>
      <w:rPr>
        <w:rFonts w:hint="default"/>
        <w:lang w:val="en-US" w:eastAsia="en-US" w:bidi="ar-SA"/>
      </w:rPr>
    </w:lvl>
    <w:lvl w:ilvl="8">
      <w:start w:val="0"/>
      <w:numFmt w:val="bullet"/>
      <w:lvlText w:val="•"/>
      <w:lvlJc w:val="left"/>
      <w:pPr>
        <w:ind w:left="8664" w:hanging="267"/>
      </w:pPr>
      <w:rPr>
        <w:rFonts w:hint="default"/>
        <w:lang w:val="en-US" w:eastAsia="en-US" w:bidi="ar-SA"/>
      </w:rPr>
    </w:lvl>
  </w:abstractNum>
  <w:abstractNum w:abstractNumId="19">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267"/>
      </w:pPr>
      <w:rPr>
        <w:rFonts w:hint="default"/>
        <w:lang w:val="en-US" w:eastAsia="en-US" w:bidi="ar-SA"/>
      </w:rPr>
    </w:lvl>
    <w:lvl w:ilvl="2">
      <w:start w:val="0"/>
      <w:numFmt w:val="bullet"/>
      <w:lvlText w:val="•"/>
      <w:lvlJc w:val="left"/>
      <w:pPr>
        <w:ind w:left="2256" w:hanging="267"/>
      </w:pPr>
      <w:rPr>
        <w:rFonts w:hint="default"/>
        <w:lang w:val="en-US" w:eastAsia="en-US" w:bidi="ar-SA"/>
      </w:rPr>
    </w:lvl>
    <w:lvl w:ilvl="3">
      <w:start w:val="0"/>
      <w:numFmt w:val="bullet"/>
      <w:lvlText w:val="•"/>
      <w:lvlJc w:val="left"/>
      <w:pPr>
        <w:ind w:left="3324" w:hanging="267"/>
      </w:pPr>
      <w:rPr>
        <w:rFonts w:hint="default"/>
        <w:lang w:val="en-US" w:eastAsia="en-US" w:bidi="ar-SA"/>
      </w:rPr>
    </w:lvl>
    <w:lvl w:ilvl="4">
      <w:start w:val="0"/>
      <w:numFmt w:val="bullet"/>
      <w:lvlText w:val="•"/>
      <w:lvlJc w:val="left"/>
      <w:pPr>
        <w:ind w:left="4392"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528" w:hanging="267"/>
      </w:pPr>
      <w:rPr>
        <w:rFonts w:hint="default"/>
        <w:lang w:val="en-US" w:eastAsia="en-US" w:bidi="ar-SA"/>
      </w:rPr>
    </w:lvl>
    <w:lvl w:ilvl="7">
      <w:start w:val="0"/>
      <w:numFmt w:val="bullet"/>
      <w:lvlText w:val="•"/>
      <w:lvlJc w:val="left"/>
      <w:pPr>
        <w:ind w:left="7596" w:hanging="267"/>
      </w:pPr>
      <w:rPr>
        <w:rFonts w:hint="default"/>
        <w:lang w:val="en-US" w:eastAsia="en-US" w:bidi="ar-SA"/>
      </w:rPr>
    </w:lvl>
    <w:lvl w:ilvl="8">
      <w:start w:val="0"/>
      <w:numFmt w:val="bullet"/>
      <w:lvlText w:val="•"/>
      <w:lvlJc w:val="left"/>
      <w:pPr>
        <w:ind w:left="8664" w:hanging="267"/>
      </w:pPr>
      <w:rPr>
        <w:rFonts w:hint="default"/>
        <w:lang w:val="en-US" w:eastAsia="en-US" w:bidi="ar-SA"/>
      </w:rPr>
    </w:lvl>
  </w:abstractNum>
  <w:abstractNum w:abstractNumId="18">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267"/>
      </w:pPr>
      <w:rPr>
        <w:rFonts w:hint="default"/>
        <w:lang w:val="en-US" w:eastAsia="en-US" w:bidi="ar-SA"/>
      </w:rPr>
    </w:lvl>
    <w:lvl w:ilvl="2">
      <w:start w:val="0"/>
      <w:numFmt w:val="bullet"/>
      <w:lvlText w:val="•"/>
      <w:lvlJc w:val="left"/>
      <w:pPr>
        <w:ind w:left="2256" w:hanging="267"/>
      </w:pPr>
      <w:rPr>
        <w:rFonts w:hint="default"/>
        <w:lang w:val="en-US" w:eastAsia="en-US" w:bidi="ar-SA"/>
      </w:rPr>
    </w:lvl>
    <w:lvl w:ilvl="3">
      <w:start w:val="0"/>
      <w:numFmt w:val="bullet"/>
      <w:lvlText w:val="•"/>
      <w:lvlJc w:val="left"/>
      <w:pPr>
        <w:ind w:left="3324" w:hanging="267"/>
      </w:pPr>
      <w:rPr>
        <w:rFonts w:hint="default"/>
        <w:lang w:val="en-US" w:eastAsia="en-US" w:bidi="ar-SA"/>
      </w:rPr>
    </w:lvl>
    <w:lvl w:ilvl="4">
      <w:start w:val="0"/>
      <w:numFmt w:val="bullet"/>
      <w:lvlText w:val="•"/>
      <w:lvlJc w:val="left"/>
      <w:pPr>
        <w:ind w:left="4392"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528" w:hanging="267"/>
      </w:pPr>
      <w:rPr>
        <w:rFonts w:hint="default"/>
        <w:lang w:val="en-US" w:eastAsia="en-US" w:bidi="ar-SA"/>
      </w:rPr>
    </w:lvl>
    <w:lvl w:ilvl="7">
      <w:start w:val="0"/>
      <w:numFmt w:val="bullet"/>
      <w:lvlText w:val="•"/>
      <w:lvlJc w:val="left"/>
      <w:pPr>
        <w:ind w:left="7596" w:hanging="267"/>
      </w:pPr>
      <w:rPr>
        <w:rFonts w:hint="default"/>
        <w:lang w:val="en-US" w:eastAsia="en-US" w:bidi="ar-SA"/>
      </w:rPr>
    </w:lvl>
    <w:lvl w:ilvl="8">
      <w:start w:val="0"/>
      <w:numFmt w:val="bullet"/>
      <w:lvlText w:val="•"/>
      <w:lvlJc w:val="left"/>
      <w:pPr>
        <w:ind w:left="8664" w:hanging="267"/>
      </w:pPr>
      <w:rPr>
        <w:rFonts w:hint="default"/>
        <w:lang w:val="en-US" w:eastAsia="en-US" w:bidi="ar-SA"/>
      </w:rPr>
    </w:lvl>
  </w:abstractNum>
  <w:abstractNum w:abstractNumId="17">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267"/>
      </w:pPr>
      <w:rPr>
        <w:rFonts w:hint="default"/>
        <w:lang w:val="en-US" w:eastAsia="en-US" w:bidi="ar-SA"/>
      </w:rPr>
    </w:lvl>
    <w:lvl w:ilvl="2">
      <w:start w:val="0"/>
      <w:numFmt w:val="bullet"/>
      <w:lvlText w:val="•"/>
      <w:lvlJc w:val="left"/>
      <w:pPr>
        <w:ind w:left="2256" w:hanging="267"/>
      </w:pPr>
      <w:rPr>
        <w:rFonts w:hint="default"/>
        <w:lang w:val="en-US" w:eastAsia="en-US" w:bidi="ar-SA"/>
      </w:rPr>
    </w:lvl>
    <w:lvl w:ilvl="3">
      <w:start w:val="0"/>
      <w:numFmt w:val="bullet"/>
      <w:lvlText w:val="•"/>
      <w:lvlJc w:val="left"/>
      <w:pPr>
        <w:ind w:left="3324" w:hanging="267"/>
      </w:pPr>
      <w:rPr>
        <w:rFonts w:hint="default"/>
        <w:lang w:val="en-US" w:eastAsia="en-US" w:bidi="ar-SA"/>
      </w:rPr>
    </w:lvl>
    <w:lvl w:ilvl="4">
      <w:start w:val="0"/>
      <w:numFmt w:val="bullet"/>
      <w:lvlText w:val="•"/>
      <w:lvlJc w:val="left"/>
      <w:pPr>
        <w:ind w:left="4392"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528" w:hanging="267"/>
      </w:pPr>
      <w:rPr>
        <w:rFonts w:hint="default"/>
        <w:lang w:val="en-US" w:eastAsia="en-US" w:bidi="ar-SA"/>
      </w:rPr>
    </w:lvl>
    <w:lvl w:ilvl="7">
      <w:start w:val="0"/>
      <w:numFmt w:val="bullet"/>
      <w:lvlText w:val="•"/>
      <w:lvlJc w:val="left"/>
      <w:pPr>
        <w:ind w:left="7596" w:hanging="267"/>
      </w:pPr>
      <w:rPr>
        <w:rFonts w:hint="default"/>
        <w:lang w:val="en-US" w:eastAsia="en-US" w:bidi="ar-SA"/>
      </w:rPr>
    </w:lvl>
    <w:lvl w:ilvl="8">
      <w:start w:val="0"/>
      <w:numFmt w:val="bullet"/>
      <w:lvlText w:val="•"/>
      <w:lvlJc w:val="left"/>
      <w:pPr>
        <w:ind w:left="8664" w:hanging="267"/>
      </w:pPr>
      <w:rPr>
        <w:rFonts w:hint="default"/>
        <w:lang w:val="en-US" w:eastAsia="en-US" w:bidi="ar-SA"/>
      </w:rPr>
    </w:lvl>
  </w:abstractNum>
  <w:abstractNum w:abstractNumId="16">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267"/>
      </w:pPr>
      <w:rPr>
        <w:rFonts w:hint="default"/>
        <w:lang w:val="en-US" w:eastAsia="en-US" w:bidi="ar-SA"/>
      </w:rPr>
    </w:lvl>
    <w:lvl w:ilvl="2">
      <w:start w:val="0"/>
      <w:numFmt w:val="bullet"/>
      <w:lvlText w:val="•"/>
      <w:lvlJc w:val="left"/>
      <w:pPr>
        <w:ind w:left="2256" w:hanging="267"/>
      </w:pPr>
      <w:rPr>
        <w:rFonts w:hint="default"/>
        <w:lang w:val="en-US" w:eastAsia="en-US" w:bidi="ar-SA"/>
      </w:rPr>
    </w:lvl>
    <w:lvl w:ilvl="3">
      <w:start w:val="0"/>
      <w:numFmt w:val="bullet"/>
      <w:lvlText w:val="•"/>
      <w:lvlJc w:val="left"/>
      <w:pPr>
        <w:ind w:left="3324" w:hanging="267"/>
      </w:pPr>
      <w:rPr>
        <w:rFonts w:hint="default"/>
        <w:lang w:val="en-US" w:eastAsia="en-US" w:bidi="ar-SA"/>
      </w:rPr>
    </w:lvl>
    <w:lvl w:ilvl="4">
      <w:start w:val="0"/>
      <w:numFmt w:val="bullet"/>
      <w:lvlText w:val="•"/>
      <w:lvlJc w:val="left"/>
      <w:pPr>
        <w:ind w:left="4392"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528" w:hanging="267"/>
      </w:pPr>
      <w:rPr>
        <w:rFonts w:hint="default"/>
        <w:lang w:val="en-US" w:eastAsia="en-US" w:bidi="ar-SA"/>
      </w:rPr>
    </w:lvl>
    <w:lvl w:ilvl="7">
      <w:start w:val="0"/>
      <w:numFmt w:val="bullet"/>
      <w:lvlText w:val="•"/>
      <w:lvlJc w:val="left"/>
      <w:pPr>
        <w:ind w:left="7596" w:hanging="267"/>
      </w:pPr>
      <w:rPr>
        <w:rFonts w:hint="default"/>
        <w:lang w:val="en-US" w:eastAsia="en-US" w:bidi="ar-SA"/>
      </w:rPr>
    </w:lvl>
    <w:lvl w:ilvl="8">
      <w:start w:val="0"/>
      <w:numFmt w:val="bullet"/>
      <w:lvlText w:val="•"/>
      <w:lvlJc w:val="left"/>
      <w:pPr>
        <w:ind w:left="8664" w:hanging="267"/>
      </w:pPr>
      <w:rPr>
        <w:rFonts w:hint="default"/>
        <w:lang w:val="en-US" w:eastAsia="en-US" w:bidi="ar-SA"/>
      </w:rPr>
    </w:lvl>
  </w:abstractNum>
  <w:abstractNum w:abstractNumId="15">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267"/>
      </w:pPr>
      <w:rPr>
        <w:rFonts w:hint="default"/>
        <w:lang w:val="en-US" w:eastAsia="en-US" w:bidi="ar-SA"/>
      </w:rPr>
    </w:lvl>
    <w:lvl w:ilvl="2">
      <w:start w:val="0"/>
      <w:numFmt w:val="bullet"/>
      <w:lvlText w:val="•"/>
      <w:lvlJc w:val="left"/>
      <w:pPr>
        <w:ind w:left="2256" w:hanging="267"/>
      </w:pPr>
      <w:rPr>
        <w:rFonts w:hint="default"/>
        <w:lang w:val="en-US" w:eastAsia="en-US" w:bidi="ar-SA"/>
      </w:rPr>
    </w:lvl>
    <w:lvl w:ilvl="3">
      <w:start w:val="0"/>
      <w:numFmt w:val="bullet"/>
      <w:lvlText w:val="•"/>
      <w:lvlJc w:val="left"/>
      <w:pPr>
        <w:ind w:left="3324" w:hanging="267"/>
      </w:pPr>
      <w:rPr>
        <w:rFonts w:hint="default"/>
        <w:lang w:val="en-US" w:eastAsia="en-US" w:bidi="ar-SA"/>
      </w:rPr>
    </w:lvl>
    <w:lvl w:ilvl="4">
      <w:start w:val="0"/>
      <w:numFmt w:val="bullet"/>
      <w:lvlText w:val="•"/>
      <w:lvlJc w:val="left"/>
      <w:pPr>
        <w:ind w:left="4392"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528" w:hanging="267"/>
      </w:pPr>
      <w:rPr>
        <w:rFonts w:hint="default"/>
        <w:lang w:val="en-US" w:eastAsia="en-US" w:bidi="ar-SA"/>
      </w:rPr>
    </w:lvl>
    <w:lvl w:ilvl="7">
      <w:start w:val="0"/>
      <w:numFmt w:val="bullet"/>
      <w:lvlText w:val="•"/>
      <w:lvlJc w:val="left"/>
      <w:pPr>
        <w:ind w:left="7596" w:hanging="267"/>
      </w:pPr>
      <w:rPr>
        <w:rFonts w:hint="default"/>
        <w:lang w:val="en-US" w:eastAsia="en-US" w:bidi="ar-SA"/>
      </w:rPr>
    </w:lvl>
    <w:lvl w:ilvl="8">
      <w:start w:val="0"/>
      <w:numFmt w:val="bullet"/>
      <w:lvlText w:val="•"/>
      <w:lvlJc w:val="left"/>
      <w:pPr>
        <w:ind w:left="8664" w:hanging="267"/>
      </w:pPr>
      <w:rPr>
        <w:rFonts w:hint="default"/>
        <w:lang w:val="en-US" w:eastAsia="en-US" w:bidi="ar-SA"/>
      </w:rPr>
    </w:lvl>
  </w:abstractNum>
  <w:abstractNum w:abstractNumId="14">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267"/>
      </w:pPr>
      <w:rPr>
        <w:rFonts w:hint="default"/>
        <w:lang w:val="en-US" w:eastAsia="en-US" w:bidi="ar-SA"/>
      </w:rPr>
    </w:lvl>
    <w:lvl w:ilvl="2">
      <w:start w:val="0"/>
      <w:numFmt w:val="bullet"/>
      <w:lvlText w:val="•"/>
      <w:lvlJc w:val="left"/>
      <w:pPr>
        <w:ind w:left="2256" w:hanging="267"/>
      </w:pPr>
      <w:rPr>
        <w:rFonts w:hint="default"/>
        <w:lang w:val="en-US" w:eastAsia="en-US" w:bidi="ar-SA"/>
      </w:rPr>
    </w:lvl>
    <w:lvl w:ilvl="3">
      <w:start w:val="0"/>
      <w:numFmt w:val="bullet"/>
      <w:lvlText w:val="•"/>
      <w:lvlJc w:val="left"/>
      <w:pPr>
        <w:ind w:left="3324" w:hanging="267"/>
      </w:pPr>
      <w:rPr>
        <w:rFonts w:hint="default"/>
        <w:lang w:val="en-US" w:eastAsia="en-US" w:bidi="ar-SA"/>
      </w:rPr>
    </w:lvl>
    <w:lvl w:ilvl="4">
      <w:start w:val="0"/>
      <w:numFmt w:val="bullet"/>
      <w:lvlText w:val="•"/>
      <w:lvlJc w:val="left"/>
      <w:pPr>
        <w:ind w:left="4392"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528" w:hanging="267"/>
      </w:pPr>
      <w:rPr>
        <w:rFonts w:hint="default"/>
        <w:lang w:val="en-US" w:eastAsia="en-US" w:bidi="ar-SA"/>
      </w:rPr>
    </w:lvl>
    <w:lvl w:ilvl="7">
      <w:start w:val="0"/>
      <w:numFmt w:val="bullet"/>
      <w:lvlText w:val="•"/>
      <w:lvlJc w:val="left"/>
      <w:pPr>
        <w:ind w:left="7596" w:hanging="267"/>
      </w:pPr>
      <w:rPr>
        <w:rFonts w:hint="default"/>
        <w:lang w:val="en-US" w:eastAsia="en-US" w:bidi="ar-SA"/>
      </w:rPr>
    </w:lvl>
    <w:lvl w:ilvl="8">
      <w:start w:val="0"/>
      <w:numFmt w:val="bullet"/>
      <w:lvlText w:val="•"/>
      <w:lvlJc w:val="left"/>
      <w:pPr>
        <w:ind w:left="8664" w:hanging="267"/>
      </w:pPr>
      <w:rPr>
        <w:rFonts w:hint="default"/>
        <w:lang w:val="en-US" w:eastAsia="en-US" w:bidi="ar-SA"/>
      </w:rPr>
    </w:lvl>
  </w:abstractNum>
  <w:abstractNum w:abstractNumId="13">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267"/>
      </w:pPr>
      <w:rPr>
        <w:rFonts w:hint="default"/>
        <w:lang w:val="en-US" w:eastAsia="en-US" w:bidi="ar-SA"/>
      </w:rPr>
    </w:lvl>
    <w:lvl w:ilvl="2">
      <w:start w:val="0"/>
      <w:numFmt w:val="bullet"/>
      <w:lvlText w:val="•"/>
      <w:lvlJc w:val="left"/>
      <w:pPr>
        <w:ind w:left="2256" w:hanging="267"/>
      </w:pPr>
      <w:rPr>
        <w:rFonts w:hint="default"/>
        <w:lang w:val="en-US" w:eastAsia="en-US" w:bidi="ar-SA"/>
      </w:rPr>
    </w:lvl>
    <w:lvl w:ilvl="3">
      <w:start w:val="0"/>
      <w:numFmt w:val="bullet"/>
      <w:lvlText w:val="•"/>
      <w:lvlJc w:val="left"/>
      <w:pPr>
        <w:ind w:left="3324" w:hanging="267"/>
      </w:pPr>
      <w:rPr>
        <w:rFonts w:hint="default"/>
        <w:lang w:val="en-US" w:eastAsia="en-US" w:bidi="ar-SA"/>
      </w:rPr>
    </w:lvl>
    <w:lvl w:ilvl="4">
      <w:start w:val="0"/>
      <w:numFmt w:val="bullet"/>
      <w:lvlText w:val="•"/>
      <w:lvlJc w:val="left"/>
      <w:pPr>
        <w:ind w:left="4392"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528" w:hanging="267"/>
      </w:pPr>
      <w:rPr>
        <w:rFonts w:hint="default"/>
        <w:lang w:val="en-US" w:eastAsia="en-US" w:bidi="ar-SA"/>
      </w:rPr>
    </w:lvl>
    <w:lvl w:ilvl="7">
      <w:start w:val="0"/>
      <w:numFmt w:val="bullet"/>
      <w:lvlText w:val="•"/>
      <w:lvlJc w:val="left"/>
      <w:pPr>
        <w:ind w:left="7596" w:hanging="267"/>
      </w:pPr>
      <w:rPr>
        <w:rFonts w:hint="default"/>
        <w:lang w:val="en-US" w:eastAsia="en-US" w:bidi="ar-SA"/>
      </w:rPr>
    </w:lvl>
    <w:lvl w:ilvl="8">
      <w:start w:val="0"/>
      <w:numFmt w:val="bullet"/>
      <w:lvlText w:val="•"/>
      <w:lvlJc w:val="left"/>
      <w:pPr>
        <w:ind w:left="8664" w:hanging="267"/>
      </w:pPr>
      <w:rPr>
        <w:rFonts w:hint="default"/>
        <w:lang w:val="en-US" w:eastAsia="en-US" w:bidi="ar-SA"/>
      </w:rPr>
    </w:lvl>
  </w:abstractNum>
  <w:abstractNum w:abstractNumId="12">
    <w:multiLevelType w:val="hybridMultilevel"/>
    <w:lvl w:ilvl="0">
      <w:start w:val="0"/>
      <w:numFmt w:val="bullet"/>
      <w:lvlText w:val="-"/>
      <w:lvlJc w:val="left"/>
      <w:pPr>
        <w:ind w:left="120" w:hanging="147"/>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147"/>
      </w:pPr>
      <w:rPr>
        <w:rFonts w:hint="default"/>
        <w:lang w:val="en-US" w:eastAsia="en-US" w:bidi="ar-SA"/>
      </w:rPr>
    </w:lvl>
    <w:lvl w:ilvl="2">
      <w:start w:val="0"/>
      <w:numFmt w:val="bullet"/>
      <w:lvlText w:val="•"/>
      <w:lvlJc w:val="left"/>
      <w:pPr>
        <w:ind w:left="2256" w:hanging="147"/>
      </w:pPr>
      <w:rPr>
        <w:rFonts w:hint="default"/>
        <w:lang w:val="en-US" w:eastAsia="en-US" w:bidi="ar-SA"/>
      </w:rPr>
    </w:lvl>
    <w:lvl w:ilvl="3">
      <w:start w:val="0"/>
      <w:numFmt w:val="bullet"/>
      <w:lvlText w:val="•"/>
      <w:lvlJc w:val="left"/>
      <w:pPr>
        <w:ind w:left="3324" w:hanging="147"/>
      </w:pPr>
      <w:rPr>
        <w:rFonts w:hint="default"/>
        <w:lang w:val="en-US" w:eastAsia="en-US" w:bidi="ar-SA"/>
      </w:rPr>
    </w:lvl>
    <w:lvl w:ilvl="4">
      <w:start w:val="0"/>
      <w:numFmt w:val="bullet"/>
      <w:lvlText w:val="•"/>
      <w:lvlJc w:val="left"/>
      <w:pPr>
        <w:ind w:left="4392" w:hanging="147"/>
      </w:pPr>
      <w:rPr>
        <w:rFonts w:hint="default"/>
        <w:lang w:val="en-US" w:eastAsia="en-US" w:bidi="ar-SA"/>
      </w:rPr>
    </w:lvl>
    <w:lvl w:ilvl="5">
      <w:start w:val="0"/>
      <w:numFmt w:val="bullet"/>
      <w:lvlText w:val="•"/>
      <w:lvlJc w:val="left"/>
      <w:pPr>
        <w:ind w:left="5460" w:hanging="147"/>
      </w:pPr>
      <w:rPr>
        <w:rFonts w:hint="default"/>
        <w:lang w:val="en-US" w:eastAsia="en-US" w:bidi="ar-SA"/>
      </w:rPr>
    </w:lvl>
    <w:lvl w:ilvl="6">
      <w:start w:val="0"/>
      <w:numFmt w:val="bullet"/>
      <w:lvlText w:val="•"/>
      <w:lvlJc w:val="left"/>
      <w:pPr>
        <w:ind w:left="6528" w:hanging="147"/>
      </w:pPr>
      <w:rPr>
        <w:rFonts w:hint="default"/>
        <w:lang w:val="en-US" w:eastAsia="en-US" w:bidi="ar-SA"/>
      </w:rPr>
    </w:lvl>
    <w:lvl w:ilvl="7">
      <w:start w:val="0"/>
      <w:numFmt w:val="bullet"/>
      <w:lvlText w:val="•"/>
      <w:lvlJc w:val="left"/>
      <w:pPr>
        <w:ind w:left="7596" w:hanging="147"/>
      </w:pPr>
      <w:rPr>
        <w:rFonts w:hint="default"/>
        <w:lang w:val="en-US" w:eastAsia="en-US" w:bidi="ar-SA"/>
      </w:rPr>
    </w:lvl>
    <w:lvl w:ilvl="8">
      <w:start w:val="0"/>
      <w:numFmt w:val="bullet"/>
      <w:lvlText w:val="•"/>
      <w:lvlJc w:val="left"/>
      <w:pPr>
        <w:ind w:left="8664" w:hanging="147"/>
      </w:pPr>
      <w:rPr>
        <w:rFonts w:hint="default"/>
        <w:lang w:val="en-US" w:eastAsia="en-US" w:bidi="ar-SA"/>
      </w:rPr>
    </w:lvl>
  </w:abstractNum>
  <w:abstractNum w:abstractNumId="11">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66" w:hanging="147"/>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1431" w:hanging="147"/>
      </w:pPr>
      <w:rPr>
        <w:rFonts w:hint="default"/>
        <w:lang w:val="en-US" w:eastAsia="en-US" w:bidi="ar-SA"/>
      </w:rPr>
    </w:lvl>
    <w:lvl w:ilvl="3">
      <w:start w:val="0"/>
      <w:numFmt w:val="bullet"/>
      <w:lvlText w:val="•"/>
      <w:lvlJc w:val="left"/>
      <w:pPr>
        <w:ind w:left="2602" w:hanging="147"/>
      </w:pPr>
      <w:rPr>
        <w:rFonts w:hint="default"/>
        <w:lang w:val="en-US" w:eastAsia="en-US" w:bidi="ar-SA"/>
      </w:rPr>
    </w:lvl>
    <w:lvl w:ilvl="4">
      <w:start w:val="0"/>
      <w:numFmt w:val="bullet"/>
      <w:lvlText w:val="•"/>
      <w:lvlJc w:val="left"/>
      <w:pPr>
        <w:ind w:left="3773" w:hanging="147"/>
      </w:pPr>
      <w:rPr>
        <w:rFonts w:hint="default"/>
        <w:lang w:val="en-US" w:eastAsia="en-US" w:bidi="ar-SA"/>
      </w:rPr>
    </w:lvl>
    <w:lvl w:ilvl="5">
      <w:start w:val="0"/>
      <w:numFmt w:val="bullet"/>
      <w:lvlText w:val="•"/>
      <w:lvlJc w:val="left"/>
      <w:pPr>
        <w:ind w:left="4944" w:hanging="147"/>
      </w:pPr>
      <w:rPr>
        <w:rFonts w:hint="default"/>
        <w:lang w:val="en-US" w:eastAsia="en-US" w:bidi="ar-SA"/>
      </w:rPr>
    </w:lvl>
    <w:lvl w:ilvl="6">
      <w:start w:val="0"/>
      <w:numFmt w:val="bullet"/>
      <w:lvlText w:val="•"/>
      <w:lvlJc w:val="left"/>
      <w:pPr>
        <w:ind w:left="6115" w:hanging="147"/>
      </w:pPr>
      <w:rPr>
        <w:rFonts w:hint="default"/>
        <w:lang w:val="en-US" w:eastAsia="en-US" w:bidi="ar-SA"/>
      </w:rPr>
    </w:lvl>
    <w:lvl w:ilvl="7">
      <w:start w:val="0"/>
      <w:numFmt w:val="bullet"/>
      <w:lvlText w:val="•"/>
      <w:lvlJc w:val="left"/>
      <w:pPr>
        <w:ind w:left="7286" w:hanging="147"/>
      </w:pPr>
      <w:rPr>
        <w:rFonts w:hint="default"/>
        <w:lang w:val="en-US" w:eastAsia="en-US" w:bidi="ar-SA"/>
      </w:rPr>
    </w:lvl>
    <w:lvl w:ilvl="8">
      <w:start w:val="0"/>
      <w:numFmt w:val="bullet"/>
      <w:lvlText w:val="•"/>
      <w:lvlJc w:val="left"/>
      <w:pPr>
        <w:ind w:left="8457" w:hanging="147"/>
      </w:pPr>
      <w:rPr>
        <w:rFonts w:hint="default"/>
        <w:lang w:val="en-US" w:eastAsia="en-US" w:bidi="ar-SA"/>
      </w:rPr>
    </w:lvl>
  </w:abstractNum>
  <w:abstractNum w:abstractNumId="10">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267"/>
      </w:pPr>
      <w:rPr>
        <w:rFonts w:hint="default"/>
        <w:lang w:val="en-US" w:eastAsia="en-US" w:bidi="ar-SA"/>
      </w:rPr>
    </w:lvl>
    <w:lvl w:ilvl="2">
      <w:start w:val="0"/>
      <w:numFmt w:val="bullet"/>
      <w:lvlText w:val="•"/>
      <w:lvlJc w:val="left"/>
      <w:pPr>
        <w:ind w:left="2256" w:hanging="267"/>
      </w:pPr>
      <w:rPr>
        <w:rFonts w:hint="default"/>
        <w:lang w:val="en-US" w:eastAsia="en-US" w:bidi="ar-SA"/>
      </w:rPr>
    </w:lvl>
    <w:lvl w:ilvl="3">
      <w:start w:val="0"/>
      <w:numFmt w:val="bullet"/>
      <w:lvlText w:val="•"/>
      <w:lvlJc w:val="left"/>
      <w:pPr>
        <w:ind w:left="3324" w:hanging="267"/>
      </w:pPr>
      <w:rPr>
        <w:rFonts w:hint="default"/>
        <w:lang w:val="en-US" w:eastAsia="en-US" w:bidi="ar-SA"/>
      </w:rPr>
    </w:lvl>
    <w:lvl w:ilvl="4">
      <w:start w:val="0"/>
      <w:numFmt w:val="bullet"/>
      <w:lvlText w:val="•"/>
      <w:lvlJc w:val="left"/>
      <w:pPr>
        <w:ind w:left="4392"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528" w:hanging="267"/>
      </w:pPr>
      <w:rPr>
        <w:rFonts w:hint="default"/>
        <w:lang w:val="en-US" w:eastAsia="en-US" w:bidi="ar-SA"/>
      </w:rPr>
    </w:lvl>
    <w:lvl w:ilvl="7">
      <w:start w:val="0"/>
      <w:numFmt w:val="bullet"/>
      <w:lvlText w:val="•"/>
      <w:lvlJc w:val="left"/>
      <w:pPr>
        <w:ind w:left="7596" w:hanging="267"/>
      </w:pPr>
      <w:rPr>
        <w:rFonts w:hint="default"/>
        <w:lang w:val="en-US" w:eastAsia="en-US" w:bidi="ar-SA"/>
      </w:rPr>
    </w:lvl>
    <w:lvl w:ilvl="8">
      <w:start w:val="0"/>
      <w:numFmt w:val="bullet"/>
      <w:lvlText w:val="•"/>
      <w:lvlJc w:val="left"/>
      <w:pPr>
        <w:ind w:left="8664" w:hanging="267"/>
      </w:pPr>
      <w:rPr>
        <w:rFonts w:hint="default"/>
        <w:lang w:val="en-US" w:eastAsia="en-US" w:bidi="ar-SA"/>
      </w:rPr>
    </w:lvl>
  </w:abstractNum>
  <w:abstractNum w:abstractNumId="9">
    <w:multiLevelType w:val="hybridMultilevel"/>
    <w:lvl w:ilvl="0">
      <w:start w:val="0"/>
      <w:numFmt w:val="bullet"/>
      <w:lvlText w:val="-"/>
      <w:lvlJc w:val="left"/>
      <w:pPr>
        <w:ind w:left="266" w:hanging="147"/>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314" w:hanging="147"/>
      </w:pPr>
      <w:rPr>
        <w:rFonts w:hint="default"/>
        <w:lang w:val="en-US" w:eastAsia="en-US" w:bidi="ar-SA"/>
      </w:rPr>
    </w:lvl>
    <w:lvl w:ilvl="2">
      <w:start w:val="0"/>
      <w:numFmt w:val="bullet"/>
      <w:lvlText w:val="•"/>
      <w:lvlJc w:val="left"/>
      <w:pPr>
        <w:ind w:left="2368" w:hanging="147"/>
      </w:pPr>
      <w:rPr>
        <w:rFonts w:hint="default"/>
        <w:lang w:val="en-US" w:eastAsia="en-US" w:bidi="ar-SA"/>
      </w:rPr>
    </w:lvl>
    <w:lvl w:ilvl="3">
      <w:start w:val="0"/>
      <w:numFmt w:val="bullet"/>
      <w:lvlText w:val="•"/>
      <w:lvlJc w:val="left"/>
      <w:pPr>
        <w:ind w:left="3422" w:hanging="147"/>
      </w:pPr>
      <w:rPr>
        <w:rFonts w:hint="default"/>
        <w:lang w:val="en-US" w:eastAsia="en-US" w:bidi="ar-SA"/>
      </w:rPr>
    </w:lvl>
    <w:lvl w:ilvl="4">
      <w:start w:val="0"/>
      <w:numFmt w:val="bullet"/>
      <w:lvlText w:val="•"/>
      <w:lvlJc w:val="left"/>
      <w:pPr>
        <w:ind w:left="4476" w:hanging="147"/>
      </w:pPr>
      <w:rPr>
        <w:rFonts w:hint="default"/>
        <w:lang w:val="en-US" w:eastAsia="en-US" w:bidi="ar-SA"/>
      </w:rPr>
    </w:lvl>
    <w:lvl w:ilvl="5">
      <w:start w:val="0"/>
      <w:numFmt w:val="bullet"/>
      <w:lvlText w:val="•"/>
      <w:lvlJc w:val="left"/>
      <w:pPr>
        <w:ind w:left="5530" w:hanging="147"/>
      </w:pPr>
      <w:rPr>
        <w:rFonts w:hint="default"/>
        <w:lang w:val="en-US" w:eastAsia="en-US" w:bidi="ar-SA"/>
      </w:rPr>
    </w:lvl>
    <w:lvl w:ilvl="6">
      <w:start w:val="0"/>
      <w:numFmt w:val="bullet"/>
      <w:lvlText w:val="•"/>
      <w:lvlJc w:val="left"/>
      <w:pPr>
        <w:ind w:left="6584" w:hanging="147"/>
      </w:pPr>
      <w:rPr>
        <w:rFonts w:hint="default"/>
        <w:lang w:val="en-US" w:eastAsia="en-US" w:bidi="ar-SA"/>
      </w:rPr>
    </w:lvl>
    <w:lvl w:ilvl="7">
      <w:start w:val="0"/>
      <w:numFmt w:val="bullet"/>
      <w:lvlText w:val="•"/>
      <w:lvlJc w:val="left"/>
      <w:pPr>
        <w:ind w:left="7638" w:hanging="147"/>
      </w:pPr>
      <w:rPr>
        <w:rFonts w:hint="default"/>
        <w:lang w:val="en-US" w:eastAsia="en-US" w:bidi="ar-SA"/>
      </w:rPr>
    </w:lvl>
    <w:lvl w:ilvl="8">
      <w:start w:val="0"/>
      <w:numFmt w:val="bullet"/>
      <w:lvlText w:val="•"/>
      <w:lvlJc w:val="left"/>
      <w:pPr>
        <w:ind w:left="8692" w:hanging="147"/>
      </w:pPr>
      <w:rPr>
        <w:rFonts w:hint="default"/>
        <w:lang w:val="en-US" w:eastAsia="en-US" w:bidi="ar-SA"/>
      </w:rPr>
    </w:lvl>
  </w:abstractNum>
  <w:abstractNum w:abstractNumId="6">
    <w:multiLevelType w:val="hybridMultilevel"/>
    <w:lvl w:ilvl="0">
      <w:start w:val="0"/>
      <w:numFmt w:val="bullet"/>
      <w:lvlText w:val="-"/>
      <w:lvlJc w:val="left"/>
      <w:pPr>
        <w:ind w:left="120" w:hanging="147"/>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147"/>
      </w:pPr>
      <w:rPr>
        <w:rFonts w:hint="default"/>
        <w:lang w:val="en-US" w:eastAsia="en-US" w:bidi="ar-SA"/>
      </w:rPr>
    </w:lvl>
    <w:lvl w:ilvl="2">
      <w:start w:val="0"/>
      <w:numFmt w:val="bullet"/>
      <w:lvlText w:val="•"/>
      <w:lvlJc w:val="left"/>
      <w:pPr>
        <w:ind w:left="2256" w:hanging="147"/>
      </w:pPr>
      <w:rPr>
        <w:rFonts w:hint="default"/>
        <w:lang w:val="en-US" w:eastAsia="en-US" w:bidi="ar-SA"/>
      </w:rPr>
    </w:lvl>
    <w:lvl w:ilvl="3">
      <w:start w:val="0"/>
      <w:numFmt w:val="bullet"/>
      <w:lvlText w:val="•"/>
      <w:lvlJc w:val="left"/>
      <w:pPr>
        <w:ind w:left="3324" w:hanging="147"/>
      </w:pPr>
      <w:rPr>
        <w:rFonts w:hint="default"/>
        <w:lang w:val="en-US" w:eastAsia="en-US" w:bidi="ar-SA"/>
      </w:rPr>
    </w:lvl>
    <w:lvl w:ilvl="4">
      <w:start w:val="0"/>
      <w:numFmt w:val="bullet"/>
      <w:lvlText w:val="•"/>
      <w:lvlJc w:val="left"/>
      <w:pPr>
        <w:ind w:left="4392" w:hanging="147"/>
      </w:pPr>
      <w:rPr>
        <w:rFonts w:hint="default"/>
        <w:lang w:val="en-US" w:eastAsia="en-US" w:bidi="ar-SA"/>
      </w:rPr>
    </w:lvl>
    <w:lvl w:ilvl="5">
      <w:start w:val="0"/>
      <w:numFmt w:val="bullet"/>
      <w:lvlText w:val="•"/>
      <w:lvlJc w:val="left"/>
      <w:pPr>
        <w:ind w:left="5460" w:hanging="147"/>
      </w:pPr>
      <w:rPr>
        <w:rFonts w:hint="default"/>
        <w:lang w:val="en-US" w:eastAsia="en-US" w:bidi="ar-SA"/>
      </w:rPr>
    </w:lvl>
    <w:lvl w:ilvl="6">
      <w:start w:val="0"/>
      <w:numFmt w:val="bullet"/>
      <w:lvlText w:val="•"/>
      <w:lvlJc w:val="left"/>
      <w:pPr>
        <w:ind w:left="6528" w:hanging="147"/>
      </w:pPr>
      <w:rPr>
        <w:rFonts w:hint="default"/>
        <w:lang w:val="en-US" w:eastAsia="en-US" w:bidi="ar-SA"/>
      </w:rPr>
    </w:lvl>
    <w:lvl w:ilvl="7">
      <w:start w:val="0"/>
      <w:numFmt w:val="bullet"/>
      <w:lvlText w:val="•"/>
      <w:lvlJc w:val="left"/>
      <w:pPr>
        <w:ind w:left="7596" w:hanging="147"/>
      </w:pPr>
      <w:rPr>
        <w:rFonts w:hint="default"/>
        <w:lang w:val="en-US" w:eastAsia="en-US" w:bidi="ar-SA"/>
      </w:rPr>
    </w:lvl>
    <w:lvl w:ilvl="8">
      <w:start w:val="0"/>
      <w:numFmt w:val="bullet"/>
      <w:lvlText w:val="•"/>
      <w:lvlJc w:val="left"/>
      <w:pPr>
        <w:ind w:left="8664" w:hanging="147"/>
      </w:pPr>
      <w:rPr>
        <w:rFonts w:hint="default"/>
        <w:lang w:val="en-US" w:eastAsia="en-US" w:bidi="ar-SA"/>
      </w:rPr>
    </w:lvl>
  </w:abstractNum>
  <w:abstractNum w:abstractNumId="5">
    <w:multiLevelType w:val="hybridMultilevel"/>
    <w:lvl w:ilvl="0">
      <w:start w:val="0"/>
      <w:numFmt w:val="bullet"/>
      <w:lvlText w:val="-"/>
      <w:lvlJc w:val="left"/>
      <w:pPr>
        <w:ind w:left="120" w:hanging="147"/>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147"/>
      </w:pPr>
      <w:rPr>
        <w:rFonts w:hint="default"/>
        <w:lang w:val="en-US" w:eastAsia="en-US" w:bidi="ar-SA"/>
      </w:rPr>
    </w:lvl>
    <w:lvl w:ilvl="2">
      <w:start w:val="0"/>
      <w:numFmt w:val="bullet"/>
      <w:lvlText w:val="•"/>
      <w:lvlJc w:val="left"/>
      <w:pPr>
        <w:ind w:left="2256" w:hanging="147"/>
      </w:pPr>
      <w:rPr>
        <w:rFonts w:hint="default"/>
        <w:lang w:val="en-US" w:eastAsia="en-US" w:bidi="ar-SA"/>
      </w:rPr>
    </w:lvl>
    <w:lvl w:ilvl="3">
      <w:start w:val="0"/>
      <w:numFmt w:val="bullet"/>
      <w:lvlText w:val="•"/>
      <w:lvlJc w:val="left"/>
      <w:pPr>
        <w:ind w:left="3324" w:hanging="147"/>
      </w:pPr>
      <w:rPr>
        <w:rFonts w:hint="default"/>
        <w:lang w:val="en-US" w:eastAsia="en-US" w:bidi="ar-SA"/>
      </w:rPr>
    </w:lvl>
    <w:lvl w:ilvl="4">
      <w:start w:val="0"/>
      <w:numFmt w:val="bullet"/>
      <w:lvlText w:val="•"/>
      <w:lvlJc w:val="left"/>
      <w:pPr>
        <w:ind w:left="4392" w:hanging="147"/>
      </w:pPr>
      <w:rPr>
        <w:rFonts w:hint="default"/>
        <w:lang w:val="en-US" w:eastAsia="en-US" w:bidi="ar-SA"/>
      </w:rPr>
    </w:lvl>
    <w:lvl w:ilvl="5">
      <w:start w:val="0"/>
      <w:numFmt w:val="bullet"/>
      <w:lvlText w:val="•"/>
      <w:lvlJc w:val="left"/>
      <w:pPr>
        <w:ind w:left="5460" w:hanging="147"/>
      </w:pPr>
      <w:rPr>
        <w:rFonts w:hint="default"/>
        <w:lang w:val="en-US" w:eastAsia="en-US" w:bidi="ar-SA"/>
      </w:rPr>
    </w:lvl>
    <w:lvl w:ilvl="6">
      <w:start w:val="0"/>
      <w:numFmt w:val="bullet"/>
      <w:lvlText w:val="•"/>
      <w:lvlJc w:val="left"/>
      <w:pPr>
        <w:ind w:left="6528" w:hanging="147"/>
      </w:pPr>
      <w:rPr>
        <w:rFonts w:hint="default"/>
        <w:lang w:val="en-US" w:eastAsia="en-US" w:bidi="ar-SA"/>
      </w:rPr>
    </w:lvl>
    <w:lvl w:ilvl="7">
      <w:start w:val="0"/>
      <w:numFmt w:val="bullet"/>
      <w:lvlText w:val="•"/>
      <w:lvlJc w:val="left"/>
      <w:pPr>
        <w:ind w:left="7596" w:hanging="147"/>
      </w:pPr>
      <w:rPr>
        <w:rFonts w:hint="default"/>
        <w:lang w:val="en-US" w:eastAsia="en-US" w:bidi="ar-SA"/>
      </w:rPr>
    </w:lvl>
    <w:lvl w:ilvl="8">
      <w:start w:val="0"/>
      <w:numFmt w:val="bullet"/>
      <w:lvlText w:val="•"/>
      <w:lvlJc w:val="left"/>
      <w:pPr>
        <w:ind w:left="8664" w:hanging="147"/>
      </w:pPr>
      <w:rPr>
        <w:rFonts w:hint="default"/>
        <w:lang w:val="en-US" w:eastAsia="en-US" w:bidi="ar-SA"/>
      </w:rPr>
    </w:lvl>
  </w:abstractNum>
  <w:abstractNum w:abstractNumId="8">
    <w:multiLevelType w:val="hybridMultilevel"/>
    <w:lvl w:ilvl="0">
      <w:start w:val="1"/>
      <w:numFmt w:val="decimal"/>
      <w:lvlText w:val="%1."/>
      <w:lvlJc w:val="left"/>
      <w:pPr>
        <w:ind w:left="386" w:hanging="267"/>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20" w:hanging="147"/>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1537" w:hanging="147"/>
      </w:pPr>
      <w:rPr>
        <w:rFonts w:hint="default"/>
        <w:lang w:val="en-US" w:eastAsia="en-US" w:bidi="ar-SA"/>
      </w:rPr>
    </w:lvl>
    <w:lvl w:ilvl="3">
      <w:start w:val="0"/>
      <w:numFmt w:val="bullet"/>
      <w:lvlText w:val="•"/>
      <w:lvlJc w:val="left"/>
      <w:pPr>
        <w:ind w:left="2695" w:hanging="147"/>
      </w:pPr>
      <w:rPr>
        <w:rFonts w:hint="default"/>
        <w:lang w:val="en-US" w:eastAsia="en-US" w:bidi="ar-SA"/>
      </w:rPr>
    </w:lvl>
    <w:lvl w:ilvl="4">
      <w:start w:val="0"/>
      <w:numFmt w:val="bullet"/>
      <w:lvlText w:val="•"/>
      <w:lvlJc w:val="left"/>
      <w:pPr>
        <w:ind w:left="3853" w:hanging="147"/>
      </w:pPr>
      <w:rPr>
        <w:rFonts w:hint="default"/>
        <w:lang w:val="en-US" w:eastAsia="en-US" w:bidi="ar-SA"/>
      </w:rPr>
    </w:lvl>
    <w:lvl w:ilvl="5">
      <w:start w:val="0"/>
      <w:numFmt w:val="bullet"/>
      <w:lvlText w:val="•"/>
      <w:lvlJc w:val="left"/>
      <w:pPr>
        <w:ind w:left="5011" w:hanging="147"/>
      </w:pPr>
      <w:rPr>
        <w:rFonts w:hint="default"/>
        <w:lang w:val="en-US" w:eastAsia="en-US" w:bidi="ar-SA"/>
      </w:rPr>
    </w:lvl>
    <w:lvl w:ilvl="6">
      <w:start w:val="0"/>
      <w:numFmt w:val="bullet"/>
      <w:lvlText w:val="•"/>
      <w:lvlJc w:val="left"/>
      <w:pPr>
        <w:ind w:left="6168" w:hanging="147"/>
      </w:pPr>
      <w:rPr>
        <w:rFonts w:hint="default"/>
        <w:lang w:val="en-US" w:eastAsia="en-US" w:bidi="ar-SA"/>
      </w:rPr>
    </w:lvl>
    <w:lvl w:ilvl="7">
      <w:start w:val="0"/>
      <w:numFmt w:val="bullet"/>
      <w:lvlText w:val="•"/>
      <w:lvlJc w:val="left"/>
      <w:pPr>
        <w:ind w:left="7326" w:hanging="147"/>
      </w:pPr>
      <w:rPr>
        <w:rFonts w:hint="default"/>
        <w:lang w:val="en-US" w:eastAsia="en-US" w:bidi="ar-SA"/>
      </w:rPr>
    </w:lvl>
    <w:lvl w:ilvl="8">
      <w:start w:val="0"/>
      <w:numFmt w:val="bullet"/>
      <w:lvlText w:val="•"/>
      <w:lvlJc w:val="left"/>
      <w:pPr>
        <w:ind w:left="8484" w:hanging="147"/>
      </w:pPr>
      <w:rPr>
        <w:rFonts w:hint="default"/>
        <w:lang w:val="en-US" w:eastAsia="en-US" w:bidi="ar-SA"/>
      </w:rPr>
    </w:lvl>
  </w:abstractNum>
  <w:abstractNum w:abstractNumId="7">
    <w:multiLevelType w:val="hybridMultilevel"/>
    <w:lvl w:ilvl="0">
      <w:start w:val="1"/>
      <w:numFmt w:val="decimal"/>
      <w:lvlText w:val="%1."/>
      <w:lvlJc w:val="left"/>
      <w:pPr>
        <w:ind w:left="386" w:hanging="267"/>
        <w:jc w:val="lef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20" w:hanging="147"/>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1537" w:hanging="147"/>
      </w:pPr>
      <w:rPr>
        <w:rFonts w:hint="default"/>
        <w:lang w:val="en-US" w:eastAsia="en-US" w:bidi="ar-SA"/>
      </w:rPr>
    </w:lvl>
    <w:lvl w:ilvl="3">
      <w:start w:val="0"/>
      <w:numFmt w:val="bullet"/>
      <w:lvlText w:val="•"/>
      <w:lvlJc w:val="left"/>
      <w:pPr>
        <w:ind w:left="2695" w:hanging="147"/>
      </w:pPr>
      <w:rPr>
        <w:rFonts w:hint="default"/>
        <w:lang w:val="en-US" w:eastAsia="en-US" w:bidi="ar-SA"/>
      </w:rPr>
    </w:lvl>
    <w:lvl w:ilvl="4">
      <w:start w:val="0"/>
      <w:numFmt w:val="bullet"/>
      <w:lvlText w:val="•"/>
      <w:lvlJc w:val="left"/>
      <w:pPr>
        <w:ind w:left="3853" w:hanging="147"/>
      </w:pPr>
      <w:rPr>
        <w:rFonts w:hint="default"/>
        <w:lang w:val="en-US" w:eastAsia="en-US" w:bidi="ar-SA"/>
      </w:rPr>
    </w:lvl>
    <w:lvl w:ilvl="5">
      <w:start w:val="0"/>
      <w:numFmt w:val="bullet"/>
      <w:lvlText w:val="•"/>
      <w:lvlJc w:val="left"/>
      <w:pPr>
        <w:ind w:left="5011" w:hanging="147"/>
      </w:pPr>
      <w:rPr>
        <w:rFonts w:hint="default"/>
        <w:lang w:val="en-US" w:eastAsia="en-US" w:bidi="ar-SA"/>
      </w:rPr>
    </w:lvl>
    <w:lvl w:ilvl="6">
      <w:start w:val="0"/>
      <w:numFmt w:val="bullet"/>
      <w:lvlText w:val="•"/>
      <w:lvlJc w:val="left"/>
      <w:pPr>
        <w:ind w:left="6168" w:hanging="147"/>
      </w:pPr>
      <w:rPr>
        <w:rFonts w:hint="default"/>
        <w:lang w:val="en-US" w:eastAsia="en-US" w:bidi="ar-SA"/>
      </w:rPr>
    </w:lvl>
    <w:lvl w:ilvl="7">
      <w:start w:val="0"/>
      <w:numFmt w:val="bullet"/>
      <w:lvlText w:val="•"/>
      <w:lvlJc w:val="left"/>
      <w:pPr>
        <w:ind w:left="7326" w:hanging="147"/>
      </w:pPr>
      <w:rPr>
        <w:rFonts w:hint="default"/>
        <w:lang w:val="en-US" w:eastAsia="en-US" w:bidi="ar-SA"/>
      </w:rPr>
    </w:lvl>
    <w:lvl w:ilvl="8">
      <w:start w:val="0"/>
      <w:numFmt w:val="bullet"/>
      <w:lvlText w:val="•"/>
      <w:lvlJc w:val="left"/>
      <w:pPr>
        <w:ind w:left="8484" w:hanging="147"/>
      </w:pPr>
      <w:rPr>
        <w:rFonts w:hint="default"/>
        <w:lang w:val="en-US" w:eastAsia="en-US" w:bidi="ar-SA"/>
      </w:rPr>
    </w:lvl>
  </w:abstractNum>
  <w:abstractNum w:abstractNumId="4">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267"/>
      </w:pPr>
      <w:rPr>
        <w:rFonts w:hint="default"/>
        <w:lang w:val="en-US" w:eastAsia="en-US" w:bidi="ar-SA"/>
      </w:rPr>
    </w:lvl>
    <w:lvl w:ilvl="2">
      <w:start w:val="0"/>
      <w:numFmt w:val="bullet"/>
      <w:lvlText w:val="•"/>
      <w:lvlJc w:val="left"/>
      <w:pPr>
        <w:ind w:left="2256" w:hanging="267"/>
      </w:pPr>
      <w:rPr>
        <w:rFonts w:hint="default"/>
        <w:lang w:val="en-US" w:eastAsia="en-US" w:bidi="ar-SA"/>
      </w:rPr>
    </w:lvl>
    <w:lvl w:ilvl="3">
      <w:start w:val="0"/>
      <w:numFmt w:val="bullet"/>
      <w:lvlText w:val="•"/>
      <w:lvlJc w:val="left"/>
      <w:pPr>
        <w:ind w:left="3324" w:hanging="267"/>
      </w:pPr>
      <w:rPr>
        <w:rFonts w:hint="default"/>
        <w:lang w:val="en-US" w:eastAsia="en-US" w:bidi="ar-SA"/>
      </w:rPr>
    </w:lvl>
    <w:lvl w:ilvl="4">
      <w:start w:val="0"/>
      <w:numFmt w:val="bullet"/>
      <w:lvlText w:val="•"/>
      <w:lvlJc w:val="left"/>
      <w:pPr>
        <w:ind w:left="4392"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528" w:hanging="267"/>
      </w:pPr>
      <w:rPr>
        <w:rFonts w:hint="default"/>
        <w:lang w:val="en-US" w:eastAsia="en-US" w:bidi="ar-SA"/>
      </w:rPr>
    </w:lvl>
    <w:lvl w:ilvl="7">
      <w:start w:val="0"/>
      <w:numFmt w:val="bullet"/>
      <w:lvlText w:val="•"/>
      <w:lvlJc w:val="left"/>
      <w:pPr>
        <w:ind w:left="7596" w:hanging="267"/>
      </w:pPr>
      <w:rPr>
        <w:rFonts w:hint="default"/>
        <w:lang w:val="en-US" w:eastAsia="en-US" w:bidi="ar-SA"/>
      </w:rPr>
    </w:lvl>
    <w:lvl w:ilvl="8">
      <w:start w:val="0"/>
      <w:numFmt w:val="bullet"/>
      <w:lvlText w:val="•"/>
      <w:lvlJc w:val="left"/>
      <w:pPr>
        <w:ind w:left="8664" w:hanging="267"/>
      </w:pPr>
      <w:rPr>
        <w:rFonts w:hint="default"/>
        <w:lang w:val="en-US" w:eastAsia="en-US" w:bidi="ar-SA"/>
      </w:rPr>
    </w:lvl>
  </w:abstractNum>
  <w:abstractNum w:abstractNumId="3">
    <w:multiLevelType w:val="hybridMultilevel"/>
    <w:lvl w:ilvl="0">
      <w:start w:val="1"/>
      <w:numFmt w:val="decimal"/>
      <w:lvlText w:val="%1."/>
      <w:lvlJc w:val="left"/>
      <w:pPr>
        <w:ind w:left="120"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1188" w:hanging="267"/>
      </w:pPr>
      <w:rPr>
        <w:rFonts w:hint="default"/>
        <w:lang w:val="en-US" w:eastAsia="en-US" w:bidi="ar-SA"/>
      </w:rPr>
    </w:lvl>
    <w:lvl w:ilvl="2">
      <w:start w:val="0"/>
      <w:numFmt w:val="bullet"/>
      <w:lvlText w:val="•"/>
      <w:lvlJc w:val="left"/>
      <w:pPr>
        <w:ind w:left="2256" w:hanging="267"/>
      </w:pPr>
      <w:rPr>
        <w:rFonts w:hint="default"/>
        <w:lang w:val="en-US" w:eastAsia="en-US" w:bidi="ar-SA"/>
      </w:rPr>
    </w:lvl>
    <w:lvl w:ilvl="3">
      <w:start w:val="0"/>
      <w:numFmt w:val="bullet"/>
      <w:lvlText w:val="•"/>
      <w:lvlJc w:val="left"/>
      <w:pPr>
        <w:ind w:left="3324" w:hanging="267"/>
      </w:pPr>
      <w:rPr>
        <w:rFonts w:hint="default"/>
        <w:lang w:val="en-US" w:eastAsia="en-US" w:bidi="ar-SA"/>
      </w:rPr>
    </w:lvl>
    <w:lvl w:ilvl="4">
      <w:start w:val="0"/>
      <w:numFmt w:val="bullet"/>
      <w:lvlText w:val="•"/>
      <w:lvlJc w:val="left"/>
      <w:pPr>
        <w:ind w:left="4392"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528" w:hanging="267"/>
      </w:pPr>
      <w:rPr>
        <w:rFonts w:hint="default"/>
        <w:lang w:val="en-US" w:eastAsia="en-US" w:bidi="ar-SA"/>
      </w:rPr>
    </w:lvl>
    <w:lvl w:ilvl="7">
      <w:start w:val="0"/>
      <w:numFmt w:val="bullet"/>
      <w:lvlText w:val="•"/>
      <w:lvlJc w:val="left"/>
      <w:pPr>
        <w:ind w:left="7596" w:hanging="267"/>
      </w:pPr>
      <w:rPr>
        <w:rFonts w:hint="default"/>
        <w:lang w:val="en-US" w:eastAsia="en-US" w:bidi="ar-SA"/>
      </w:rPr>
    </w:lvl>
    <w:lvl w:ilvl="8">
      <w:start w:val="0"/>
      <w:numFmt w:val="bullet"/>
      <w:lvlText w:val="•"/>
      <w:lvlJc w:val="left"/>
      <w:pPr>
        <w:ind w:left="8664" w:hanging="267"/>
      </w:pPr>
      <w:rPr>
        <w:rFonts w:hint="default"/>
        <w:lang w:val="en-US" w:eastAsia="en-US" w:bidi="ar-SA"/>
      </w:rPr>
    </w:lvl>
  </w:abstractNum>
  <w:abstractNum w:abstractNumId="2">
    <w:multiLevelType w:val="hybridMultilevel"/>
    <w:lvl w:ilvl="0">
      <w:start w:val="1"/>
      <w:numFmt w:val="decimal"/>
      <w:lvlText w:val="%1."/>
      <w:lvlJc w:val="left"/>
      <w:pPr>
        <w:ind w:left="520" w:hanging="401"/>
        <w:jc w:val="left"/>
      </w:pPr>
      <w:rPr>
        <w:rFonts w:hint="default" w:ascii="Arial" w:hAnsi="Arial" w:eastAsia="Arial" w:cs="Arial"/>
        <w:b/>
        <w:bCs/>
        <w:i w:val="0"/>
        <w:iCs w:val="0"/>
        <w:spacing w:val="0"/>
        <w:w w:val="100"/>
        <w:sz w:val="36"/>
        <w:szCs w:val="36"/>
        <w:lang w:val="en-US" w:eastAsia="en-US" w:bidi="ar-SA"/>
      </w:rPr>
    </w:lvl>
    <w:lvl w:ilvl="1">
      <w:start w:val="1"/>
      <w:numFmt w:val="decimal"/>
      <w:lvlText w:val="%1.%2"/>
      <w:lvlJc w:val="left"/>
      <w:pPr>
        <w:ind w:left="653" w:hanging="534"/>
        <w:jc w:val="left"/>
      </w:pPr>
      <w:rPr>
        <w:rFonts w:hint="default" w:ascii="Arial" w:hAnsi="Arial" w:eastAsia="Arial" w:cs="Arial"/>
        <w:b/>
        <w:bCs/>
        <w:i w:val="0"/>
        <w:iCs w:val="0"/>
        <w:spacing w:val="0"/>
        <w:w w:val="100"/>
        <w:sz w:val="32"/>
        <w:szCs w:val="32"/>
        <w:lang w:val="en-US" w:eastAsia="en-US" w:bidi="ar-SA"/>
      </w:rPr>
    </w:lvl>
    <w:lvl w:ilvl="2">
      <w:start w:val="1"/>
      <w:numFmt w:val="decimal"/>
      <w:lvlText w:val="%1.%2.%3"/>
      <w:lvlJc w:val="left"/>
      <w:pPr>
        <w:ind w:left="820" w:hanging="701"/>
        <w:jc w:val="left"/>
      </w:pPr>
      <w:rPr>
        <w:rFonts w:hint="default" w:ascii="Arial" w:hAnsi="Arial" w:eastAsia="Arial" w:cs="Arial"/>
        <w:b/>
        <w:bCs/>
        <w:i/>
        <w:iCs/>
        <w:spacing w:val="0"/>
        <w:w w:val="100"/>
        <w:sz w:val="28"/>
        <w:szCs w:val="28"/>
        <w:lang w:val="en-US" w:eastAsia="en-US" w:bidi="ar-SA"/>
      </w:rPr>
    </w:lvl>
    <w:lvl w:ilvl="3">
      <w:start w:val="0"/>
      <w:numFmt w:val="bullet"/>
      <w:lvlText w:val="-"/>
      <w:lvlJc w:val="left"/>
      <w:pPr>
        <w:ind w:left="266" w:hanging="147"/>
      </w:pPr>
      <w:rPr>
        <w:rFonts w:hint="default" w:ascii="Arial MT" w:hAnsi="Arial MT" w:eastAsia="Arial MT" w:cs="Arial MT"/>
        <w:b w:val="0"/>
        <w:bCs w:val="0"/>
        <w:i w:val="0"/>
        <w:iCs w:val="0"/>
        <w:spacing w:val="0"/>
        <w:w w:val="100"/>
        <w:sz w:val="24"/>
        <w:szCs w:val="24"/>
        <w:lang w:val="en-US" w:eastAsia="en-US" w:bidi="ar-SA"/>
      </w:rPr>
    </w:lvl>
    <w:lvl w:ilvl="4">
      <w:start w:val="0"/>
      <w:numFmt w:val="bullet"/>
      <w:lvlText w:val="•"/>
      <w:lvlJc w:val="left"/>
      <w:pPr>
        <w:ind w:left="820" w:hanging="147"/>
      </w:pPr>
      <w:rPr>
        <w:rFonts w:hint="default"/>
        <w:lang w:val="en-US" w:eastAsia="en-US" w:bidi="ar-SA"/>
      </w:rPr>
    </w:lvl>
    <w:lvl w:ilvl="5">
      <w:start w:val="0"/>
      <w:numFmt w:val="bullet"/>
      <w:lvlText w:val="•"/>
      <w:lvlJc w:val="left"/>
      <w:pPr>
        <w:ind w:left="2483" w:hanging="147"/>
      </w:pPr>
      <w:rPr>
        <w:rFonts w:hint="default"/>
        <w:lang w:val="en-US" w:eastAsia="en-US" w:bidi="ar-SA"/>
      </w:rPr>
    </w:lvl>
    <w:lvl w:ilvl="6">
      <w:start w:val="0"/>
      <w:numFmt w:val="bullet"/>
      <w:lvlText w:val="•"/>
      <w:lvlJc w:val="left"/>
      <w:pPr>
        <w:ind w:left="4146" w:hanging="147"/>
      </w:pPr>
      <w:rPr>
        <w:rFonts w:hint="default"/>
        <w:lang w:val="en-US" w:eastAsia="en-US" w:bidi="ar-SA"/>
      </w:rPr>
    </w:lvl>
    <w:lvl w:ilvl="7">
      <w:start w:val="0"/>
      <w:numFmt w:val="bullet"/>
      <w:lvlText w:val="•"/>
      <w:lvlJc w:val="left"/>
      <w:pPr>
        <w:ind w:left="5810" w:hanging="147"/>
      </w:pPr>
      <w:rPr>
        <w:rFonts w:hint="default"/>
        <w:lang w:val="en-US" w:eastAsia="en-US" w:bidi="ar-SA"/>
      </w:rPr>
    </w:lvl>
    <w:lvl w:ilvl="8">
      <w:start w:val="0"/>
      <w:numFmt w:val="bullet"/>
      <w:lvlText w:val="•"/>
      <w:lvlJc w:val="left"/>
      <w:pPr>
        <w:ind w:left="7473" w:hanging="147"/>
      </w:pPr>
      <w:rPr>
        <w:rFonts w:hint="default"/>
        <w:lang w:val="en-US" w:eastAsia="en-US" w:bidi="ar-SA"/>
      </w:rPr>
    </w:lvl>
  </w:abstractNum>
  <w:abstractNum w:abstractNumId="1">
    <w:multiLevelType w:val="hybridMultilevel"/>
    <w:lvl w:ilvl="0">
      <w:start w:val="1"/>
      <w:numFmt w:val="decimal"/>
      <w:lvlText w:val="%1."/>
      <w:lvlJc w:val="left"/>
      <w:pPr>
        <w:ind w:left="386" w:hanging="267"/>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66" w:hanging="147"/>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1537" w:hanging="147"/>
      </w:pPr>
      <w:rPr>
        <w:rFonts w:hint="default"/>
        <w:lang w:val="en-US" w:eastAsia="en-US" w:bidi="ar-SA"/>
      </w:rPr>
    </w:lvl>
    <w:lvl w:ilvl="3">
      <w:start w:val="0"/>
      <w:numFmt w:val="bullet"/>
      <w:lvlText w:val="•"/>
      <w:lvlJc w:val="left"/>
      <w:pPr>
        <w:ind w:left="2695" w:hanging="147"/>
      </w:pPr>
      <w:rPr>
        <w:rFonts w:hint="default"/>
        <w:lang w:val="en-US" w:eastAsia="en-US" w:bidi="ar-SA"/>
      </w:rPr>
    </w:lvl>
    <w:lvl w:ilvl="4">
      <w:start w:val="0"/>
      <w:numFmt w:val="bullet"/>
      <w:lvlText w:val="•"/>
      <w:lvlJc w:val="left"/>
      <w:pPr>
        <w:ind w:left="3853" w:hanging="147"/>
      </w:pPr>
      <w:rPr>
        <w:rFonts w:hint="default"/>
        <w:lang w:val="en-US" w:eastAsia="en-US" w:bidi="ar-SA"/>
      </w:rPr>
    </w:lvl>
    <w:lvl w:ilvl="5">
      <w:start w:val="0"/>
      <w:numFmt w:val="bullet"/>
      <w:lvlText w:val="•"/>
      <w:lvlJc w:val="left"/>
      <w:pPr>
        <w:ind w:left="5011" w:hanging="147"/>
      </w:pPr>
      <w:rPr>
        <w:rFonts w:hint="default"/>
        <w:lang w:val="en-US" w:eastAsia="en-US" w:bidi="ar-SA"/>
      </w:rPr>
    </w:lvl>
    <w:lvl w:ilvl="6">
      <w:start w:val="0"/>
      <w:numFmt w:val="bullet"/>
      <w:lvlText w:val="•"/>
      <w:lvlJc w:val="left"/>
      <w:pPr>
        <w:ind w:left="6168" w:hanging="147"/>
      </w:pPr>
      <w:rPr>
        <w:rFonts w:hint="default"/>
        <w:lang w:val="en-US" w:eastAsia="en-US" w:bidi="ar-SA"/>
      </w:rPr>
    </w:lvl>
    <w:lvl w:ilvl="7">
      <w:start w:val="0"/>
      <w:numFmt w:val="bullet"/>
      <w:lvlText w:val="•"/>
      <w:lvlJc w:val="left"/>
      <w:pPr>
        <w:ind w:left="7326" w:hanging="147"/>
      </w:pPr>
      <w:rPr>
        <w:rFonts w:hint="default"/>
        <w:lang w:val="en-US" w:eastAsia="en-US" w:bidi="ar-SA"/>
      </w:rPr>
    </w:lvl>
    <w:lvl w:ilvl="8">
      <w:start w:val="0"/>
      <w:numFmt w:val="bullet"/>
      <w:lvlText w:val="•"/>
      <w:lvlJc w:val="left"/>
      <w:pPr>
        <w:ind w:left="8484" w:hanging="147"/>
      </w:pPr>
      <w:rPr>
        <w:rFonts w:hint="default"/>
        <w:lang w:val="en-US" w:eastAsia="en-US" w:bidi="ar-SA"/>
      </w:rPr>
    </w:lvl>
  </w:abstractNum>
  <w:abstractNum w:abstractNumId="0">
    <w:multiLevelType w:val="hybridMultilevel"/>
    <w:lvl w:ilvl="0">
      <w:start w:val="0"/>
      <w:numFmt w:val="bullet"/>
      <w:lvlText w:val="■"/>
      <w:lvlJc w:val="left"/>
      <w:pPr>
        <w:ind w:left="120" w:hanging="241"/>
      </w:pPr>
      <w:rPr>
        <w:rFonts w:hint="default" w:ascii="MS Gothic" w:hAnsi="MS Gothic" w:eastAsia="MS Gothic" w:cs="MS Gothic"/>
        <w:b w:val="0"/>
        <w:bCs w:val="0"/>
        <w:i w:val="0"/>
        <w:iCs w:val="0"/>
        <w:spacing w:val="0"/>
        <w:w w:val="99"/>
        <w:sz w:val="22"/>
        <w:szCs w:val="22"/>
        <w:lang w:val="en-US" w:eastAsia="en-US" w:bidi="ar-SA"/>
      </w:rPr>
    </w:lvl>
    <w:lvl w:ilvl="1">
      <w:start w:val="0"/>
      <w:numFmt w:val="bullet"/>
      <w:lvlText w:val="•"/>
      <w:lvlJc w:val="left"/>
      <w:pPr>
        <w:ind w:left="1188" w:hanging="241"/>
      </w:pPr>
      <w:rPr>
        <w:rFonts w:hint="default"/>
        <w:lang w:val="en-US" w:eastAsia="en-US" w:bidi="ar-SA"/>
      </w:rPr>
    </w:lvl>
    <w:lvl w:ilvl="2">
      <w:start w:val="0"/>
      <w:numFmt w:val="bullet"/>
      <w:lvlText w:val="•"/>
      <w:lvlJc w:val="left"/>
      <w:pPr>
        <w:ind w:left="2256" w:hanging="241"/>
      </w:pPr>
      <w:rPr>
        <w:rFonts w:hint="default"/>
        <w:lang w:val="en-US" w:eastAsia="en-US" w:bidi="ar-SA"/>
      </w:rPr>
    </w:lvl>
    <w:lvl w:ilvl="3">
      <w:start w:val="0"/>
      <w:numFmt w:val="bullet"/>
      <w:lvlText w:val="•"/>
      <w:lvlJc w:val="left"/>
      <w:pPr>
        <w:ind w:left="3324" w:hanging="241"/>
      </w:pPr>
      <w:rPr>
        <w:rFonts w:hint="default"/>
        <w:lang w:val="en-US" w:eastAsia="en-US" w:bidi="ar-SA"/>
      </w:rPr>
    </w:lvl>
    <w:lvl w:ilvl="4">
      <w:start w:val="0"/>
      <w:numFmt w:val="bullet"/>
      <w:lvlText w:val="•"/>
      <w:lvlJc w:val="left"/>
      <w:pPr>
        <w:ind w:left="4392" w:hanging="241"/>
      </w:pPr>
      <w:rPr>
        <w:rFonts w:hint="default"/>
        <w:lang w:val="en-US" w:eastAsia="en-US" w:bidi="ar-SA"/>
      </w:rPr>
    </w:lvl>
    <w:lvl w:ilvl="5">
      <w:start w:val="0"/>
      <w:numFmt w:val="bullet"/>
      <w:lvlText w:val="•"/>
      <w:lvlJc w:val="left"/>
      <w:pPr>
        <w:ind w:left="5460" w:hanging="241"/>
      </w:pPr>
      <w:rPr>
        <w:rFonts w:hint="default"/>
        <w:lang w:val="en-US" w:eastAsia="en-US" w:bidi="ar-SA"/>
      </w:rPr>
    </w:lvl>
    <w:lvl w:ilvl="6">
      <w:start w:val="0"/>
      <w:numFmt w:val="bullet"/>
      <w:lvlText w:val="•"/>
      <w:lvlJc w:val="left"/>
      <w:pPr>
        <w:ind w:left="6528" w:hanging="241"/>
      </w:pPr>
      <w:rPr>
        <w:rFonts w:hint="default"/>
        <w:lang w:val="en-US" w:eastAsia="en-US" w:bidi="ar-SA"/>
      </w:rPr>
    </w:lvl>
    <w:lvl w:ilvl="7">
      <w:start w:val="0"/>
      <w:numFmt w:val="bullet"/>
      <w:lvlText w:val="•"/>
      <w:lvlJc w:val="left"/>
      <w:pPr>
        <w:ind w:left="7596" w:hanging="241"/>
      </w:pPr>
      <w:rPr>
        <w:rFonts w:hint="default"/>
        <w:lang w:val="en-US" w:eastAsia="en-US" w:bidi="ar-SA"/>
      </w:rPr>
    </w:lvl>
    <w:lvl w:ilvl="8">
      <w:start w:val="0"/>
      <w:numFmt w:val="bullet"/>
      <w:lvlText w:val="•"/>
      <w:lvlJc w:val="left"/>
      <w:pPr>
        <w:ind w:left="8664" w:hanging="241"/>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7">
    <w:abstractNumId w:val="6"/>
  </w:num>
  <w:num w:numId="6">
    <w:abstractNumId w:val="5"/>
  </w:num>
  <w:num w:numId="9">
    <w:abstractNumId w:val="8"/>
  </w:num>
  <w:num w:numId="8">
    <w:abstractNumId w:val="7"/>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84"/>
    </w:pPr>
    <w:rPr>
      <w:rFonts w:ascii="Arial MT" w:hAnsi="Arial MT" w:eastAsia="Arial MT" w:cs="Arial MT"/>
      <w:sz w:val="24"/>
      <w:szCs w:val="24"/>
      <w:lang w:val="en-US" w:eastAsia="en-US" w:bidi="ar-SA"/>
    </w:rPr>
  </w:style>
  <w:style w:styleId="Heading1" w:type="paragraph">
    <w:name w:val="Heading 1"/>
    <w:basedOn w:val="Normal"/>
    <w:uiPriority w:val="1"/>
    <w:qFormat/>
    <w:pPr>
      <w:ind w:left="520" w:hanging="400"/>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653" w:hanging="533"/>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820" w:hanging="700"/>
      <w:outlineLvl w:val="3"/>
    </w:pPr>
    <w:rPr>
      <w:rFonts w:ascii="Arial" w:hAnsi="Arial" w:eastAsia="Arial" w:cs="Arial"/>
      <w:b/>
      <w:bCs/>
      <w:i/>
      <w:iCs/>
      <w:sz w:val="28"/>
      <w:szCs w:val="28"/>
      <w:lang w:val="en-US" w:eastAsia="en-US" w:bidi="ar-SA"/>
    </w:rPr>
  </w:style>
  <w:style w:styleId="Heading4" w:type="paragraph">
    <w:name w:val="Heading 4"/>
    <w:basedOn w:val="Normal"/>
    <w:uiPriority w:val="1"/>
    <w:qFormat/>
    <w:pPr>
      <w:ind w:left="120"/>
      <w:outlineLvl w:val="4"/>
    </w:pPr>
    <w:rPr>
      <w:rFonts w:ascii="Arial" w:hAnsi="Arial" w:eastAsia="Arial" w:cs="Arial"/>
      <w:b/>
      <w:bCs/>
      <w:sz w:val="24"/>
      <w:szCs w:val="24"/>
      <w:lang w:val="en-US" w:eastAsia="en-US" w:bidi="ar-SA"/>
    </w:rPr>
  </w:style>
  <w:style w:styleId="Title" w:type="paragraph">
    <w:name w:val="Title"/>
    <w:basedOn w:val="Normal"/>
    <w:uiPriority w:val="1"/>
    <w:qFormat/>
    <w:pPr>
      <w:spacing w:before="160"/>
      <w:ind w:left="906" w:hanging="640"/>
    </w:pPr>
    <w:rPr>
      <w:rFonts w:ascii="Arial" w:hAnsi="Arial" w:eastAsia="Arial" w:cs="Arial"/>
      <w:b/>
      <w:bCs/>
      <w:sz w:val="48"/>
      <w:szCs w:val="48"/>
      <w:lang w:val="en-US" w:eastAsia="en-US" w:bidi="ar-SA"/>
    </w:rPr>
  </w:style>
  <w:style w:styleId="ListParagraph" w:type="paragraph">
    <w:name w:val="List Paragraph"/>
    <w:basedOn w:val="Normal"/>
    <w:uiPriority w:val="1"/>
    <w:qFormat/>
    <w:pPr>
      <w:ind w:left="266" w:hanging="146"/>
    </w:pPr>
    <w:rPr>
      <w:rFonts w:ascii="Arial MT" w:hAnsi="Arial MT" w:eastAsia="Arial MT" w:cs="Arial MT"/>
      <w:lang w:val="en-US" w:eastAsia="en-US" w:bidi="ar-SA"/>
    </w:rPr>
  </w:style>
  <w:style w:styleId="TableParagraph" w:type="paragraph">
    <w:name w:val="Table Paragraph"/>
    <w:basedOn w:val="Normal"/>
    <w:uiPriority w:val="1"/>
    <w:qFormat/>
    <w:pPr>
      <w:spacing w:before="67"/>
      <w:ind w:left="12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2025-04-29T15:27:04Z</dcterms:created>
  <dcterms:modified xsi:type="dcterms:W3CDTF">2025-04-29T15:27:04Z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(unspecified)</vt:lpwstr>
  </property>
  <property fmtid="{D5CDD505-2E9C-101B-9397-08002B2CF9AE}" pid="4" name="LastSaved">
    <vt:filetime>2025-04-29T00:00:00Z</vt:filetime>
  </property>
  <property fmtid="{D5CDD505-2E9C-101B-9397-08002B2CF9AE}" pid="5" name="Producer">
    <vt:lpwstr>ReportLab PDF Library - www.reportlab.com</vt:lpwstr>
  </property>
</Properties>
</file>