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0F4072">
            <w:pPr>
              <w:spacing w:line="360" w:lineRule="auto"/>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0F4072">
            <w:pPr>
              <w:spacing w:line="360" w:lineRule="auto"/>
              <w:jc w:val="right"/>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0F407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0F407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0F4072">
      <w:pPr>
        <w:spacing w:line="360" w:lineRule="auto"/>
        <w:jc w:val="center"/>
        <w:rPr>
          <w:rFonts w:cstheme="minorHAnsi"/>
          <w:sz w:val="24"/>
          <w:szCs w:val="24"/>
        </w:rPr>
      </w:pPr>
    </w:p>
    <w:p w14:paraId="4F66F789" w14:textId="77777777" w:rsidR="00965C48" w:rsidRDefault="00965C48" w:rsidP="000F407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0F4072">
      <w:pPr>
        <w:spacing w:line="360" w:lineRule="auto"/>
        <w:ind w:left="360"/>
        <w:jc w:val="center"/>
        <w:rPr>
          <w:rFonts w:cstheme="minorHAnsi"/>
          <w:b/>
          <w:sz w:val="24"/>
          <w:szCs w:val="24"/>
        </w:rPr>
      </w:pPr>
    </w:p>
    <w:p w14:paraId="0E1A12A7" w14:textId="77777777" w:rsidR="00ED7C12" w:rsidRDefault="00965C48" w:rsidP="000F407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0F4072">
      <w:pPr>
        <w:spacing w:line="360" w:lineRule="auto"/>
        <w:ind w:left="360"/>
        <w:jc w:val="center"/>
        <w:rPr>
          <w:rFonts w:cstheme="minorHAnsi"/>
          <w:sz w:val="24"/>
          <w:szCs w:val="24"/>
        </w:rPr>
      </w:pPr>
    </w:p>
    <w:p w14:paraId="504D7AD0" w14:textId="77777777" w:rsidR="001B10C0" w:rsidRDefault="001B10C0" w:rsidP="000F407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0F4072">
      <w:pPr>
        <w:spacing w:line="360" w:lineRule="auto"/>
        <w:ind w:left="360"/>
        <w:jc w:val="center"/>
        <w:rPr>
          <w:rFonts w:cstheme="minorHAnsi"/>
          <w:sz w:val="24"/>
          <w:szCs w:val="24"/>
        </w:rPr>
      </w:pPr>
    </w:p>
    <w:p w14:paraId="4900F91D" w14:textId="77777777" w:rsidR="001B10C0" w:rsidRDefault="001B10C0" w:rsidP="000F407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0F4072">
      <w:pPr>
        <w:spacing w:line="360" w:lineRule="auto"/>
        <w:ind w:left="360"/>
        <w:jc w:val="center"/>
        <w:rPr>
          <w:rFonts w:cstheme="minorHAnsi"/>
          <w:sz w:val="24"/>
          <w:szCs w:val="24"/>
        </w:rPr>
      </w:pPr>
    </w:p>
    <w:p w14:paraId="51589D46" w14:textId="77777777" w:rsidR="001B10C0" w:rsidRPr="001B10C0" w:rsidRDefault="001B10C0" w:rsidP="000F4072">
      <w:pPr>
        <w:spacing w:line="360" w:lineRule="auto"/>
        <w:ind w:left="360"/>
        <w:jc w:val="center"/>
        <w:rPr>
          <w:rFonts w:cstheme="minorHAnsi"/>
          <w:color w:val="FF0000"/>
          <w:sz w:val="24"/>
          <w:szCs w:val="24"/>
        </w:rPr>
      </w:pPr>
      <w:commentRangeStart w:id="0"/>
      <w:r w:rsidRPr="001B10C0">
        <w:rPr>
          <w:rFonts w:cstheme="minorHAnsi"/>
          <w:color w:val="FF0000"/>
          <w:sz w:val="24"/>
          <w:szCs w:val="24"/>
        </w:rPr>
        <w:t>&lt;Abgabedatum&gt;</w:t>
      </w:r>
      <w:commentRangeEnd w:id="0"/>
      <w:r>
        <w:rPr>
          <w:rStyle w:val="Kommentarzeichen"/>
        </w:rPr>
        <w:commentReference w:id="0"/>
      </w:r>
    </w:p>
    <w:p w14:paraId="4F967446" w14:textId="77777777" w:rsidR="001B10C0" w:rsidRDefault="001B10C0" w:rsidP="000F4072">
      <w:pPr>
        <w:spacing w:line="360" w:lineRule="auto"/>
        <w:rPr>
          <w:rFonts w:cstheme="minorHAnsi"/>
          <w:sz w:val="24"/>
          <w:szCs w:val="24"/>
        </w:rPr>
      </w:pPr>
    </w:p>
    <w:p w14:paraId="59F78635" w14:textId="77777777" w:rsidR="001B10C0" w:rsidRDefault="001B10C0" w:rsidP="000F4072">
      <w:pPr>
        <w:spacing w:line="360" w:lineRule="auto"/>
        <w:ind w:left="360"/>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0F4072">
            <w:pPr>
              <w:spacing w:line="360" w:lineRule="auto"/>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0F407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0F4072">
            <w:pPr>
              <w:spacing w:line="360" w:lineRule="auto"/>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0F407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0F4072">
            <w:pPr>
              <w:spacing w:line="360" w:lineRule="auto"/>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0F407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0F4072">
            <w:pPr>
              <w:spacing w:line="360" w:lineRule="auto"/>
              <w:rPr>
                <w:rFonts w:cstheme="minorHAnsi"/>
                <w:sz w:val="24"/>
                <w:szCs w:val="24"/>
              </w:rPr>
            </w:pPr>
            <w:commentRangeStart w:id="1"/>
            <w:r>
              <w:rPr>
                <w:rFonts w:cstheme="minorHAnsi"/>
                <w:sz w:val="24"/>
                <w:szCs w:val="24"/>
              </w:rPr>
              <w:t>Gutachter der Dualen Hochschule</w:t>
            </w:r>
          </w:p>
        </w:tc>
        <w:tc>
          <w:tcPr>
            <w:tcW w:w="3768" w:type="dxa"/>
          </w:tcPr>
          <w:p w14:paraId="17AC0AE3" w14:textId="77777777" w:rsidR="001B10C0" w:rsidRDefault="001B10C0" w:rsidP="000F4072">
            <w:pPr>
              <w:spacing w:line="360" w:lineRule="auto"/>
              <w:jc w:val="right"/>
              <w:rPr>
                <w:rFonts w:cstheme="minorHAnsi"/>
                <w:sz w:val="24"/>
                <w:szCs w:val="24"/>
              </w:rPr>
            </w:pPr>
            <w:r>
              <w:rPr>
                <w:rFonts w:cstheme="minorHAnsi"/>
                <w:sz w:val="24"/>
                <w:szCs w:val="24"/>
              </w:rPr>
              <w:t>Nicolas Wolf</w:t>
            </w:r>
            <w:commentRangeEnd w:id="1"/>
            <w:r>
              <w:rPr>
                <w:rStyle w:val="Kommentarzeichen"/>
              </w:rPr>
              <w:commentReference w:id="1"/>
            </w:r>
          </w:p>
        </w:tc>
      </w:tr>
    </w:tbl>
    <w:p w14:paraId="455610FA" w14:textId="77777777" w:rsidR="00AA38F5" w:rsidRDefault="00AA38F5" w:rsidP="000F4072">
      <w:pPr>
        <w:spacing w:line="360" w:lineRule="auto"/>
      </w:pPr>
    </w:p>
    <w:p w14:paraId="5E5F48B0" w14:textId="77777777" w:rsidR="00AA38F5" w:rsidRDefault="00AA38F5" w:rsidP="000F4072">
      <w:pPr>
        <w:spacing w:line="360" w:lineRule="auto"/>
      </w:pPr>
    </w:p>
    <w:p w14:paraId="3F8F7372" w14:textId="77777777" w:rsidR="00941697" w:rsidRDefault="00941697" w:rsidP="000F4072">
      <w:pPr>
        <w:pStyle w:val="berschrift1"/>
        <w:spacing w:line="360" w:lineRule="auto"/>
        <w:jc w:val="center"/>
        <w:rPr>
          <w:sz w:val="28"/>
          <w:szCs w:val="28"/>
        </w:rPr>
        <w:sectPr w:rsidR="00941697" w:rsidSect="00F213ED">
          <w:pgSz w:w="11906" w:h="16838"/>
          <w:pgMar w:top="1418" w:right="1701" w:bottom="1418" w:left="2268" w:header="709" w:footer="709" w:gutter="0"/>
          <w:cols w:space="708"/>
          <w:docGrid w:linePitch="360"/>
        </w:sectPr>
      </w:pPr>
    </w:p>
    <w:p w14:paraId="5F49A70C" w14:textId="6ED6BFF8" w:rsidR="00AA38F5" w:rsidRPr="00350D86" w:rsidRDefault="00397DCF" w:rsidP="000F4072">
      <w:pPr>
        <w:pStyle w:val="berschrift1"/>
        <w:spacing w:line="360" w:lineRule="auto"/>
        <w:jc w:val="center"/>
        <w:rPr>
          <w:sz w:val="28"/>
          <w:szCs w:val="28"/>
        </w:rPr>
      </w:pPr>
      <w:r w:rsidRPr="00350D86">
        <w:rPr>
          <w:sz w:val="28"/>
          <w:szCs w:val="28"/>
        </w:rPr>
        <w:lastRenderedPageBreak/>
        <w:t>Einleitung</w:t>
      </w:r>
    </w:p>
    <w:p w14:paraId="0A88E2A2" w14:textId="77777777" w:rsidR="00397DCF" w:rsidRDefault="00397DCF" w:rsidP="000F4072">
      <w:pPr>
        <w:spacing w:line="360" w:lineRule="auto"/>
        <w:jc w:val="both"/>
      </w:pPr>
    </w:p>
    <w:p w14:paraId="6AA15CBC" w14:textId="23BE28E0" w:rsidR="005F6601" w:rsidRDefault="00397DCF" w:rsidP="000F4072">
      <w:pPr>
        <w:spacing w:line="360" w:lineRule="auto"/>
        <w:jc w:val="both"/>
      </w:pPr>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 xml:space="preserve">Diese Aussage war und ist eine grundlegende Realität,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2"/>
      <w:r w:rsidR="00FD603C">
        <w:t xml:space="preserve">vgl. Hochreutener und Bleiker (2022, S.88 </w:t>
      </w:r>
      <w:r w:rsidR="00226C33">
        <w:t>f.</w:t>
      </w:r>
      <w:r w:rsidR="00FD603C">
        <w:t xml:space="preserve">). </w:t>
      </w:r>
      <w:commentRangeEnd w:id="2"/>
      <w:r w:rsidR="00FD603C">
        <w:rPr>
          <w:rStyle w:val="Kommentarzeichen"/>
        </w:rPr>
        <w:commentReference w:id="2"/>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3"/>
      <w:r w:rsidR="006C15E5">
        <w:t>vgl. Krüger (2023, S.1)</w:t>
      </w:r>
      <w:commentRangeEnd w:id="3"/>
      <w:r w:rsidR="006C15E5">
        <w:rPr>
          <w:rStyle w:val="Kommentarzeichen"/>
        </w:rPr>
        <w:commentReference w:id="3"/>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4"/>
      <w:r w:rsidR="00027F03">
        <w:t>vgl.</w:t>
      </w:r>
      <w:r w:rsidR="00226C33">
        <w:t xml:space="preserve"> </w:t>
      </w:r>
      <w:r w:rsidR="00C13466">
        <w:t>s</w:t>
      </w:r>
      <w:r w:rsidR="00226C33">
        <w:t>tatistisches Bundesamt (202</w:t>
      </w:r>
      <w:r w:rsidR="00C13466">
        <w:t>3, Arbeit von zu Hause in ausgewählten Wirtschaftsbereichen 2022)</w:t>
      </w:r>
      <w:commentRangeEnd w:id="4"/>
      <w:r w:rsidR="00C13466">
        <w:rPr>
          <w:rStyle w:val="Kommentarzeichen"/>
        </w:rPr>
        <w:commentReference w:id="4"/>
      </w:r>
      <w:r w:rsidR="00C13466">
        <w:t>. Deswegen stellt sich die Frage: Wie beeinflusst das Homeoffice das Wissensmanagement?</w:t>
      </w:r>
    </w:p>
    <w:p w14:paraId="5B1C7C3B" w14:textId="29800887" w:rsidR="00DE4F81" w:rsidRDefault="009A6283" w:rsidP="000F4072">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DE4F81">
      <w:r>
        <w:br w:type="page"/>
      </w:r>
    </w:p>
    <w:p w14:paraId="431611B7" w14:textId="1E1BB9EA" w:rsidR="00350D86" w:rsidRDefault="00350D86" w:rsidP="000F4072">
      <w:pPr>
        <w:pStyle w:val="berschrift1"/>
        <w:spacing w:line="360" w:lineRule="auto"/>
        <w:jc w:val="center"/>
        <w:rPr>
          <w:sz w:val="28"/>
          <w:szCs w:val="28"/>
        </w:rPr>
      </w:pPr>
      <w:r>
        <w:rPr>
          <w:sz w:val="28"/>
          <w:szCs w:val="28"/>
        </w:rPr>
        <w:lastRenderedPageBreak/>
        <w:t>1 – Auswirkungen des Homeoffice auf das Wissensmanagement</w:t>
      </w:r>
    </w:p>
    <w:p w14:paraId="16FE5396" w14:textId="35D95C50" w:rsidR="00350D86" w:rsidRDefault="00350D86" w:rsidP="000F4072">
      <w:pPr>
        <w:spacing w:line="360" w:lineRule="auto"/>
        <w:jc w:val="both"/>
      </w:pPr>
    </w:p>
    <w:p w14:paraId="28102B07" w14:textId="39E9FCAD" w:rsidR="00350D86" w:rsidRDefault="00350D86" w:rsidP="000F4072">
      <w:pPr>
        <w:spacing w:line="360" w:lineRule="auto"/>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66AC09A7" w:rsidR="00B17A7C" w:rsidRDefault="00B17A7C" w:rsidP="000F4072">
      <w:pPr>
        <w:spacing w:line="360" w:lineRule="auto"/>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5"/>
      <w:r w:rsidR="00867493">
        <w:t>vgl. Hochreutener und Bleiker (2022, S.88)</w:t>
      </w:r>
      <w:commentRangeEnd w:id="5"/>
      <w:r w:rsidR="00867493">
        <w:rPr>
          <w:rStyle w:val="Kommentarzeichen"/>
        </w:rPr>
        <w:commentReference w:id="5"/>
      </w:r>
      <w:r>
        <w:t xml:space="preserve">. Darauf aufbauend, versteht man das „Wissensmanagement“ als Versuch, das Vorhanden Wissen in einer Organisation zu erweitern, zu verteilen, zu sichern und zu aktualisieren. Dadurch möchte das Wissensmanagement einen Wettbewerbsvorteil und Mehrwert für die Organisation </w:t>
      </w:r>
      <w:commentRangeStart w:id="6"/>
      <w:r>
        <w:t>schaffen vgl. Hochreutener und Bleiker (2022, S.89).</w:t>
      </w:r>
      <w:r w:rsidR="000E6ABA">
        <w:t xml:space="preserve"> </w:t>
      </w:r>
      <w:commentRangeEnd w:id="6"/>
      <w:r w:rsidR="0055205B">
        <w:rPr>
          <w:rStyle w:val="Kommentarzeichen"/>
        </w:rPr>
        <w:commentReference w:id="6"/>
      </w:r>
    </w:p>
    <w:p w14:paraId="70FB3923" w14:textId="57C4594C" w:rsidR="00403737" w:rsidRDefault="00403737" w:rsidP="000F4072">
      <w:pPr>
        <w:spacing w:line="360" w:lineRule="auto"/>
      </w:pPr>
    </w:p>
    <w:p w14:paraId="22A29C57" w14:textId="0C07AD27" w:rsidR="00403737" w:rsidRDefault="00811F6A" w:rsidP="000F4072">
      <w:pPr>
        <w:pStyle w:val="berschrift2"/>
        <w:numPr>
          <w:ilvl w:val="1"/>
          <w:numId w:val="8"/>
        </w:numPr>
        <w:spacing w:line="360" w:lineRule="auto"/>
        <w:jc w:val="center"/>
      </w:pPr>
      <w:r>
        <w:t>– Kernprinzipien des Wissensmanagements</w:t>
      </w:r>
    </w:p>
    <w:p w14:paraId="209512E3" w14:textId="116F94F8" w:rsidR="00811F6A" w:rsidRDefault="00811F6A" w:rsidP="000F4072">
      <w:pPr>
        <w:spacing w:line="360" w:lineRule="auto"/>
      </w:pPr>
    </w:p>
    <w:p w14:paraId="028933F9" w14:textId="77777777" w:rsidR="00C71F19" w:rsidRDefault="00811F6A" w:rsidP="000F4072">
      <w:pPr>
        <w:spacing w:line="360" w:lineRule="auto"/>
      </w:pPr>
      <w:r>
        <w:t>Die ersten Ideen und Theorien zum Wissensmanagement entstanden in den 80er</w:t>
      </w:r>
      <w:r w:rsidR="000F4072">
        <w:t xml:space="preserve"> und 90er Jahren. Vor allem in den wissensintensiven Branchen, wie dem Consulting Business, erhoffte man sich durch das handhabbar machen von Wissen einen Wettbewerbsvorteil. Doch etablierten viele Unternehmen das Wissensmanagement erst sehr spät, denn es galt nach </w:t>
      </w:r>
      <w:r w:rsidR="0055205B">
        <w:t>IT, HR, Finanzbuchhaltung, Rechtsabteilung und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7"/>
      <w:r w:rsidR="0055205B">
        <w:t>vgl. Grasshoff (2023, S.3 f.)</w:t>
      </w:r>
      <w:commentRangeEnd w:id="7"/>
      <w:r w:rsidR="0055205B">
        <w:rPr>
          <w:rStyle w:val="Kommentarzeichen"/>
        </w:rPr>
        <w:commentReference w:id="7"/>
      </w:r>
      <w:r w:rsidR="001F1C86">
        <w:t>.</w:t>
      </w:r>
      <w:r w:rsidR="0055205B">
        <w:t xml:space="preserve"> </w:t>
      </w:r>
      <w:r w:rsidR="001F1C86">
        <w:t xml:space="preserve"> Die Ressource „Wissen“ wurde damals </w:t>
      </w:r>
      <w:r w:rsidR="00013670">
        <w:t xml:space="preserve">als etwas Eindeutiges und klar Definierbares verstanden </w:t>
      </w:r>
      <w:commentRangeStart w:id="8"/>
      <w:r w:rsidR="00013670">
        <w:t>vgl. Nonaka und Takeuchi (1995, S.23)</w:t>
      </w:r>
      <w:commentRangeEnd w:id="8"/>
      <w:r w:rsidR="00013670">
        <w:rPr>
          <w:rStyle w:val="Kommentarzeichen"/>
        </w:rPr>
        <w:commentReference w:id="8"/>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9"/>
      <w:r w:rsidR="004B6A88">
        <w:t>vgl. Grasshoff (2023, S.4)</w:t>
      </w:r>
      <w:commentRangeEnd w:id="9"/>
      <w:r w:rsidR="004B6A88">
        <w:rPr>
          <w:rStyle w:val="Kommentarzeichen"/>
        </w:rPr>
        <w:commentReference w:id="9"/>
      </w:r>
      <w:r w:rsidR="004B6A88">
        <w:t xml:space="preserve">.  </w:t>
      </w:r>
    </w:p>
    <w:p w14:paraId="03F14223" w14:textId="486C48E2" w:rsidR="00811F6A" w:rsidRDefault="00C71F19" w:rsidP="000F4072">
      <w:pPr>
        <w:spacing w:line="360" w:lineRule="auto"/>
      </w:pPr>
      <w:r>
        <w:lastRenderedPageBreak/>
        <w:t xml:space="preserve">Doch ein solches Wissensmanagement, welches ausschließlich auf die Verbreitung von explizitem Wissen ausgerichtet war, konnte nie die Ziele erreichen, die man sich erhoffte </w:t>
      </w:r>
      <w:commentRangeStart w:id="10"/>
      <w:r>
        <w:t>vgl. Grasshoff (2023, S.4).</w:t>
      </w:r>
      <w:commentRangeEnd w:id="10"/>
      <w:r>
        <w:rPr>
          <w:rStyle w:val="Kommentarzeichen"/>
        </w:rPr>
        <w:commentReference w:id="10"/>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11"/>
      <w:r w:rsidR="00AB1581">
        <w:t>vgl. Nonaka und Takeuchi (1995, S.24).</w:t>
      </w:r>
      <w:commentRangeEnd w:id="11"/>
      <w:r w:rsidR="00AB1581">
        <w:rPr>
          <w:rStyle w:val="Kommentarzeichen"/>
        </w:rPr>
        <w:commentReference w:id="11"/>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12"/>
      <w:r w:rsidR="005C0ADF">
        <w:t>vgl. Nonaka und Takeuchi (1995, S.24).</w:t>
      </w:r>
      <w:commentRangeEnd w:id="12"/>
      <w:r w:rsidR="005C0ADF">
        <w:rPr>
          <w:rStyle w:val="Kommentarzeichen"/>
        </w:rPr>
        <w:commentReference w:id="12"/>
      </w:r>
      <w:r w:rsidR="002851D2">
        <w:t xml:space="preserve"> </w:t>
      </w:r>
      <w:r w:rsidR="00D208C6">
        <w:t>„Für ein erfolgreiches Wissensmanagement ist nicht nur die Unterscheidung zwischen implizitem und explizitem, sondern auch zwischen individuellen und organisationalem Wissen relevant.“</w:t>
      </w:r>
      <w:r w:rsidR="001D7F92">
        <w:t xml:space="preserve"> </w:t>
      </w:r>
      <w:commentRangeStart w:id="13"/>
      <w:r w:rsidR="001D7F92">
        <w:t>(Hochreutener und Bleiker 2022, S.90).</w:t>
      </w:r>
      <w:commentRangeEnd w:id="13"/>
      <w:r w:rsidR="001D7F92">
        <w:rPr>
          <w:rStyle w:val="Kommentarzeichen"/>
        </w:rPr>
        <w:commentReference w:id="13"/>
      </w:r>
      <w:r w:rsidR="001D7F92">
        <w:t xml:space="preserve"> Genau auf diesen Prozess der Wissenskodifizierung zielen Nonaka &amp; Takeuchi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14"/>
      <w:r w:rsidR="0034730A">
        <w:t>vgl. Nonaka und Takeuchi (1995, S.72 f.)</w:t>
      </w:r>
      <w:r w:rsidR="00CF0B17">
        <w:t>.</w:t>
      </w:r>
      <w:r w:rsidR="0034730A">
        <w:t xml:space="preserve"> </w:t>
      </w:r>
      <w:commentRangeEnd w:id="14"/>
      <w:r w:rsidR="00CF0B17">
        <w:rPr>
          <w:rStyle w:val="Kommentarzeichen"/>
        </w:rPr>
        <w:commentReference w:id="14"/>
      </w:r>
      <w:r w:rsidR="00C705E4">
        <w:t>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wissen zwischen Individuen. Es handelt sich um den Prozess, bei dem implizite</w:t>
      </w:r>
      <w:r w:rsidR="00F435CE">
        <w:t xml:space="preserve"> Erfahrungen und Kenntnisse umgewandelt werden </w:t>
      </w:r>
      <w:commentRangeStart w:id="15"/>
      <w:r w:rsidR="00F435CE">
        <w:t>vgl. Nonaka und Takeuchi (1995, S.80).</w:t>
      </w:r>
      <w:commentRangeEnd w:id="15"/>
      <w:r w:rsidR="00F435CE">
        <w:rPr>
          <w:rStyle w:val="Kommentarzeichen"/>
        </w:rPr>
        <w:commentReference w:id="15"/>
      </w:r>
      <w:r w:rsidR="00F435CE">
        <w:t xml:space="preserve"> Unter der Externalisierung versteht man den Prozess der Umwandlung von implizitem Wissen, welches bereits durch Sozialisation erworben wurde, in explizites Wissen. Um diese Umwandlung zu realisieren bedient man sich meist die bildliche Sprache (z.B. in form von Metaphern, Hypothesen oder Konzepten). Man versucht so das implizite Wissen explizit greifbar zu machen. Dieser Prozess ist nicht immer gradlinig und fordert Reflexion und Interaktion, wodurch neues Wissen entstehen kann </w:t>
      </w:r>
      <w:commentRangeStart w:id="16"/>
      <w:r w:rsidR="00F435CE">
        <w:t>vgl. Bächle (2016, S.78).</w:t>
      </w:r>
      <w:commentRangeEnd w:id="16"/>
      <w:r w:rsidR="00F435CE">
        <w:rPr>
          <w:rStyle w:val="Kommentarzeichen"/>
        </w:rPr>
        <w:commentReference w:id="16"/>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17"/>
      <w:r w:rsidR="002E190F">
        <w:t>vgl. Bächle (2016, S.78).</w:t>
      </w:r>
      <w:commentRangeEnd w:id="17"/>
      <w:r w:rsidR="00D94D1B">
        <w:rPr>
          <w:rStyle w:val="Kommentarzeichen"/>
        </w:rPr>
        <w:commentReference w:id="17"/>
      </w:r>
      <w:r w:rsidR="00D94D1B">
        <w:t xml:space="preserve"> </w:t>
      </w:r>
      <w:r w:rsidR="00EE4C10">
        <w:lastRenderedPageBreak/>
        <w:t xml:space="preserve">Der Prozess, bei dem explizites Wissen durch wiederholte Anwendung in implizites Wissen übergeht, wird von </w:t>
      </w:r>
      <w:commentRangeStart w:id="18"/>
      <w:r w:rsidR="00EE4C10">
        <w:t>Nonaka und Takeuchi (1995, S.87</w:t>
      </w:r>
      <w:commentRangeEnd w:id="18"/>
      <w:r w:rsidR="00EE4C10">
        <w:rPr>
          <w:rStyle w:val="Kommentarzeichen"/>
        </w:rPr>
        <w:commentReference w:id="18"/>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1269303A" w:rsidR="00B67B7E" w:rsidRPr="00811F6A" w:rsidRDefault="00B67B7E" w:rsidP="000F4072">
      <w:pPr>
        <w:spacing w:line="360" w:lineRule="auto"/>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19"/>
      <w:r w:rsidR="00F65F12">
        <w:t>vgl. Lehner (2021, S.61)</w:t>
      </w:r>
      <w:commentRangeEnd w:id="19"/>
      <w:r w:rsidR="00F65F12">
        <w:rPr>
          <w:rStyle w:val="Kommentarzeichen"/>
        </w:rPr>
        <w:commentReference w:id="19"/>
      </w:r>
      <w:bookmarkStart w:id="20" w:name="_GoBack"/>
      <w:bookmarkEnd w:id="20"/>
    </w:p>
    <w:sectPr w:rsidR="00B67B7E" w:rsidRPr="00811F6A" w:rsidSect="00941697">
      <w:footerReference w:type="default" r:id="rId14"/>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4:00Z" w:initials="SJ">
    <w:p w14:paraId="7A4042D0" w14:textId="47D99E95" w:rsidR="001B10C0" w:rsidRDefault="001B10C0">
      <w:pPr>
        <w:pStyle w:val="Kommentartext"/>
      </w:pPr>
      <w:r>
        <w:rPr>
          <w:rStyle w:val="Kommentarzeichen"/>
        </w:rPr>
        <w:annotationRef/>
      </w:r>
      <w:r>
        <w:t xml:space="preserve">Muss noch hinzugefügt werden, wenn alles </w:t>
      </w:r>
      <w:r w:rsidR="00C13466">
        <w:t>fertig</w:t>
      </w:r>
      <w:r>
        <w:t xml:space="preserve"> ist</w:t>
      </w:r>
    </w:p>
  </w:comment>
  <w:comment w:id="1"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2"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3"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4"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5"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6"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7"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8"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9"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10"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11"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12"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Pr>
          <w:b/>
        </w:rPr>
        <w:t>1</w:t>
      </w:r>
    </w:p>
    <w:p w14:paraId="01041761" w14:textId="0FF5AEDA" w:rsidR="005C0ADF" w:rsidRDefault="005C0ADF">
      <w:pPr>
        <w:pStyle w:val="Kommentartext"/>
      </w:pPr>
    </w:p>
  </w:comment>
  <w:comment w:id="13"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14"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15"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16"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17"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18"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19"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042D0" w15:done="0"/>
  <w15:commentEx w15:paraId="0E500E2A" w15:done="0"/>
  <w15:commentEx w15:paraId="08E92EA3" w15:done="0"/>
  <w15:commentEx w15:paraId="6892FDDD" w15:done="0"/>
  <w15:commentEx w15:paraId="78309B93" w15:done="0"/>
  <w15:commentEx w15:paraId="62B46ABF" w15:done="0"/>
  <w15:commentEx w15:paraId="1143ACAB" w15:done="0"/>
  <w15:commentEx w15:paraId="7FFFF3E6"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042D0" w16cid:durableId="29C7B022"/>
  <w16cid:commentId w16cid:paraId="0E500E2A" w16cid:durableId="29C7B03A"/>
  <w16cid:commentId w16cid:paraId="08E92EA3" w16cid:durableId="29C90C74"/>
  <w16cid:commentId w16cid:paraId="6892FDDD" w16cid:durableId="29C9128C"/>
  <w16cid:commentId w16cid:paraId="78309B93" w16cid:durableId="29C921D4"/>
  <w16cid:commentId w16cid:paraId="62B46ABF" w16cid:durableId="29C92D9B"/>
  <w16cid:commentId w16cid:paraId="1143ACAB" w16cid:durableId="29CA3A9A"/>
  <w16cid:commentId w16cid:paraId="7FFFF3E6" w16cid:durableId="29CA39C1"/>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9D297" w14:textId="77777777" w:rsidR="00610AB6" w:rsidRDefault="00610AB6" w:rsidP="0037354D">
      <w:pPr>
        <w:spacing w:after="0" w:line="240" w:lineRule="auto"/>
      </w:pPr>
      <w:r>
        <w:separator/>
      </w:r>
    </w:p>
  </w:endnote>
  <w:endnote w:type="continuationSeparator" w:id="0">
    <w:p w14:paraId="4420D6E0" w14:textId="77777777" w:rsidR="00610AB6" w:rsidRDefault="00610AB6"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240A" w14:textId="77777777" w:rsidR="00610AB6" w:rsidRDefault="00610AB6" w:rsidP="0037354D">
      <w:pPr>
        <w:spacing w:after="0" w:line="240" w:lineRule="auto"/>
      </w:pPr>
      <w:r>
        <w:separator/>
      </w:r>
    </w:p>
  </w:footnote>
  <w:footnote w:type="continuationSeparator" w:id="0">
    <w:p w14:paraId="06DDACA6" w14:textId="77777777" w:rsidR="00610AB6" w:rsidRDefault="00610AB6"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61807"/>
    <w:rsid w:val="00093B92"/>
    <w:rsid w:val="000E4B32"/>
    <w:rsid w:val="000E6ABA"/>
    <w:rsid w:val="000F4072"/>
    <w:rsid w:val="001B10C0"/>
    <w:rsid w:val="001D7F92"/>
    <w:rsid w:val="001F1C86"/>
    <w:rsid w:val="00204F0C"/>
    <w:rsid w:val="00226C33"/>
    <w:rsid w:val="002851D2"/>
    <w:rsid w:val="002A6334"/>
    <w:rsid w:val="002E190F"/>
    <w:rsid w:val="0034730A"/>
    <w:rsid w:val="00350D86"/>
    <w:rsid w:val="00367017"/>
    <w:rsid w:val="0037354D"/>
    <w:rsid w:val="0037420C"/>
    <w:rsid w:val="00397DCF"/>
    <w:rsid w:val="00403737"/>
    <w:rsid w:val="0044283B"/>
    <w:rsid w:val="00490AB0"/>
    <w:rsid w:val="004911B4"/>
    <w:rsid w:val="004B6A88"/>
    <w:rsid w:val="0055205B"/>
    <w:rsid w:val="005C0ADF"/>
    <w:rsid w:val="005F6601"/>
    <w:rsid w:val="005F6686"/>
    <w:rsid w:val="00610AB6"/>
    <w:rsid w:val="006930A2"/>
    <w:rsid w:val="006C15E5"/>
    <w:rsid w:val="00731502"/>
    <w:rsid w:val="00741A80"/>
    <w:rsid w:val="00811F6A"/>
    <w:rsid w:val="00867493"/>
    <w:rsid w:val="00896A3E"/>
    <w:rsid w:val="0090730A"/>
    <w:rsid w:val="00941697"/>
    <w:rsid w:val="00962212"/>
    <w:rsid w:val="00965C48"/>
    <w:rsid w:val="009A6283"/>
    <w:rsid w:val="00A82AA7"/>
    <w:rsid w:val="00AA38F5"/>
    <w:rsid w:val="00AB1581"/>
    <w:rsid w:val="00B17A7C"/>
    <w:rsid w:val="00B67B7E"/>
    <w:rsid w:val="00B90EC8"/>
    <w:rsid w:val="00BB314A"/>
    <w:rsid w:val="00BE76DD"/>
    <w:rsid w:val="00BF28B6"/>
    <w:rsid w:val="00BF57EE"/>
    <w:rsid w:val="00C13466"/>
    <w:rsid w:val="00C705E4"/>
    <w:rsid w:val="00C71F19"/>
    <w:rsid w:val="00C96593"/>
    <w:rsid w:val="00CE6D41"/>
    <w:rsid w:val="00CF0B17"/>
    <w:rsid w:val="00D208C6"/>
    <w:rsid w:val="00D71FDD"/>
    <w:rsid w:val="00D94D1B"/>
    <w:rsid w:val="00DA4862"/>
    <w:rsid w:val="00DE4F81"/>
    <w:rsid w:val="00DE5468"/>
    <w:rsid w:val="00DF4E73"/>
    <w:rsid w:val="00ED7C12"/>
    <w:rsid w:val="00EE4C10"/>
    <w:rsid w:val="00F213ED"/>
    <w:rsid w:val="00F401E0"/>
    <w:rsid w:val="00F435CE"/>
    <w:rsid w:val="00F65F12"/>
    <w:rsid w:val="00F919BA"/>
    <w:rsid w:val="00FD6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0640BD06-C6C0-4EB8-991C-FF086DE1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26B28-7B70-4A84-87F0-0515A02A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1105</Words>
  <Characters>6965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2</cp:revision>
  <dcterms:created xsi:type="dcterms:W3CDTF">2024-04-17T15:28:00Z</dcterms:created>
  <dcterms:modified xsi:type="dcterms:W3CDTF">2024-04-17T15:28:00Z</dcterms:modified>
</cp:coreProperties>
</file>