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8F23D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00C34492" w:rsidR="001B10C0" w:rsidRDefault="008F23D2" w:rsidP="008F23D2">
      <w:pPr>
        <w:spacing w:line="360" w:lineRule="auto"/>
        <w:jc w:val="center"/>
        <w:rPr>
          <w:rFonts w:cstheme="minorHAnsi"/>
          <w:sz w:val="24"/>
          <w:szCs w:val="24"/>
        </w:rPr>
      </w:pPr>
      <w:r>
        <w:rPr>
          <w:rFonts w:cstheme="minorHAnsi"/>
          <w:sz w:val="24"/>
          <w:szCs w:val="24"/>
        </w:rPr>
        <w:fldChar w:fldCharType="begin"/>
      </w:r>
      <w:r>
        <w:rPr>
          <w:rFonts w:cstheme="minorHAnsi"/>
          <w:sz w:val="24"/>
          <w:szCs w:val="24"/>
        </w:rPr>
        <w:instrText xml:space="preserve"> TIME \@ "dd.MM.yyyy" </w:instrText>
      </w:r>
      <w:r>
        <w:rPr>
          <w:rFonts w:cstheme="minorHAnsi"/>
          <w:sz w:val="24"/>
          <w:szCs w:val="24"/>
        </w:rPr>
        <w:fldChar w:fldCharType="separate"/>
      </w:r>
      <w:r w:rsidR="00933508">
        <w:rPr>
          <w:rFonts w:cstheme="minorHAnsi"/>
          <w:noProof/>
          <w:sz w:val="24"/>
          <w:szCs w:val="24"/>
        </w:rPr>
        <w:t>23.04.2024</w:t>
      </w:r>
      <w:r>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01C04F44" w14:textId="77777777" w:rsidR="009C1096" w:rsidRDefault="009C1096" w:rsidP="009C1096"/>
    <w:sdt>
      <w:sdtPr>
        <w:id w:val="20077082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545920" w14:textId="4D3315BE" w:rsidR="009C1096" w:rsidRDefault="009C1096">
          <w:pPr>
            <w:pStyle w:val="Inhaltsverzeichnisberschrift"/>
          </w:pPr>
          <w:r>
            <w:t>Inhaltsverzeichnis</w:t>
          </w:r>
        </w:p>
        <w:p w14:paraId="1B21FE64" w14:textId="529D3F3E" w:rsidR="00933508" w:rsidRDefault="009C1096">
          <w:pPr>
            <w:pStyle w:val="Verzeichnis1"/>
            <w:tabs>
              <w:tab w:val="right" w:leader="dot" w:pos="7927"/>
            </w:tabs>
            <w:rPr>
              <w:rFonts w:cstheme="minorBidi"/>
              <w:noProof/>
            </w:rPr>
          </w:pPr>
          <w:r>
            <w:fldChar w:fldCharType="begin"/>
          </w:r>
          <w:r>
            <w:instrText xml:space="preserve"> TOC \o "1-3" \h \z \u </w:instrText>
          </w:r>
          <w:r>
            <w:fldChar w:fldCharType="separate"/>
          </w:r>
          <w:hyperlink w:anchor="_Toc164760492" w:history="1">
            <w:r w:rsidR="00933508" w:rsidRPr="00B10E24">
              <w:rPr>
                <w:rStyle w:val="Hyperlink"/>
                <w:noProof/>
              </w:rPr>
              <w:t>Einleitung</w:t>
            </w:r>
            <w:r w:rsidR="00933508">
              <w:rPr>
                <w:noProof/>
                <w:webHidden/>
              </w:rPr>
              <w:tab/>
            </w:r>
            <w:r w:rsidR="00933508">
              <w:rPr>
                <w:noProof/>
                <w:webHidden/>
              </w:rPr>
              <w:fldChar w:fldCharType="begin"/>
            </w:r>
            <w:r w:rsidR="00933508">
              <w:rPr>
                <w:noProof/>
                <w:webHidden/>
              </w:rPr>
              <w:instrText xml:space="preserve"> PAGEREF _Toc164760492 \h </w:instrText>
            </w:r>
            <w:r w:rsidR="00933508">
              <w:rPr>
                <w:noProof/>
                <w:webHidden/>
              </w:rPr>
            </w:r>
            <w:r w:rsidR="00933508">
              <w:rPr>
                <w:noProof/>
                <w:webHidden/>
              </w:rPr>
              <w:fldChar w:fldCharType="separate"/>
            </w:r>
            <w:r w:rsidR="00933508">
              <w:rPr>
                <w:noProof/>
                <w:webHidden/>
              </w:rPr>
              <w:t>1</w:t>
            </w:r>
            <w:r w:rsidR="00933508">
              <w:rPr>
                <w:noProof/>
                <w:webHidden/>
              </w:rPr>
              <w:fldChar w:fldCharType="end"/>
            </w:r>
          </w:hyperlink>
        </w:p>
        <w:p w14:paraId="02290864" w14:textId="50940B88" w:rsidR="00933508" w:rsidRDefault="00933508">
          <w:pPr>
            <w:pStyle w:val="Verzeichnis1"/>
            <w:tabs>
              <w:tab w:val="right" w:leader="dot" w:pos="7927"/>
            </w:tabs>
            <w:rPr>
              <w:rFonts w:cstheme="minorBidi"/>
              <w:noProof/>
            </w:rPr>
          </w:pPr>
          <w:hyperlink w:anchor="_Toc164760493" w:history="1">
            <w:r w:rsidRPr="00B10E24">
              <w:rPr>
                <w:rStyle w:val="Hyperlink"/>
                <w:noProof/>
              </w:rPr>
              <w:t>1 – Auswirkungen des Homeoffice auf das Wissensmanagement</w:t>
            </w:r>
            <w:r>
              <w:rPr>
                <w:noProof/>
                <w:webHidden/>
              </w:rPr>
              <w:tab/>
            </w:r>
            <w:r>
              <w:rPr>
                <w:noProof/>
                <w:webHidden/>
              </w:rPr>
              <w:fldChar w:fldCharType="begin"/>
            </w:r>
            <w:r>
              <w:rPr>
                <w:noProof/>
                <w:webHidden/>
              </w:rPr>
              <w:instrText xml:space="preserve"> PAGEREF _Toc164760493 \h </w:instrText>
            </w:r>
            <w:r>
              <w:rPr>
                <w:noProof/>
                <w:webHidden/>
              </w:rPr>
            </w:r>
            <w:r>
              <w:rPr>
                <w:noProof/>
                <w:webHidden/>
              </w:rPr>
              <w:fldChar w:fldCharType="separate"/>
            </w:r>
            <w:r>
              <w:rPr>
                <w:noProof/>
                <w:webHidden/>
              </w:rPr>
              <w:t>2</w:t>
            </w:r>
            <w:r>
              <w:rPr>
                <w:noProof/>
                <w:webHidden/>
              </w:rPr>
              <w:fldChar w:fldCharType="end"/>
            </w:r>
          </w:hyperlink>
        </w:p>
        <w:p w14:paraId="7B33916F" w14:textId="09794841" w:rsidR="00933508" w:rsidRDefault="00933508">
          <w:pPr>
            <w:pStyle w:val="Verzeichnis2"/>
            <w:tabs>
              <w:tab w:val="left" w:pos="880"/>
              <w:tab w:val="right" w:leader="dot" w:pos="7927"/>
            </w:tabs>
            <w:rPr>
              <w:rFonts w:cstheme="minorBidi"/>
              <w:noProof/>
            </w:rPr>
          </w:pPr>
          <w:hyperlink w:anchor="_Toc164760494" w:history="1">
            <w:r w:rsidRPr="00B10E24">
              <w:rPr>
                <w:rStyle w:val="Hyperlink"/>
                <w:noProof/>
              </w:rPr>
              <w:t>1.1</w:t>
            </w:r>
            <w:r>
              <w:rPr>
                <w:rFonts w:cstheme="minorBidi"/>
                <w:noProof/>
              </w:rPr>
              <w:t xml:space="preserve"> </w:t>
            </w:r>
            <w:r w:rsidRPr="00B10E24">
              <w:rPr>
                <w:rStyle w:val="Hyperlink"/>
                <w:noProof/>
              </w:rPr>
              <w:t>– Kernprinzipien des Wissensmanagements</w:t>
            </w:r>
            <w:r>
              <w:rPr>
                <w:noProof/>
                <w:webHidden/>
              </w:rPr>
              <w:tab/>
            </w:r>
            <w:r>
              <w:rPr>
                <w:noProof/>
                <w:webHidden/>
              </w:rPr>
              <w:fldChar w:fldCharType="begin"/>
            </w:r>
            <w:r>
              <w:rPr>
                <w:noProof/>
                <w:webHidden/>
              </w:rPr>
              <w:instrText xml:space="preserve"> PAGEREF _Toc164760494 \h </w:instrText>
            </w:r>
            <w:r>
              <w:rPr>
                <w:noProof/>
                <w:webHidden/>
              </w:rPr>
            </w:r>
            <w:r>
              <w:rPr>
                <w:noProof/>
                <w:webHidden/>
              </w:rPr>
              <w:fldChar w:fldCharType="separate"/>
            </w:r>
            <w:r>
              <w:rPr>
                <w:noProof/>
                <w:webHidden/>
              </w:rPr>
              <w:t>2</w:t>
            </w:r>
            <w:r>
              <w:rPr>
                <w:noProof/>
                <w:webHidden/>
              </w:rPr>
              <w:fldChar w:fldCharType="end"/>
            </w:r>
          </w:hyperlink>
        </w:p>
        <w:p w14:paraId="045F3682" w14:textId="07243D36" w:rsidR="00933508" w:rsidRDefault="00933508">
          <w:pPr>
            <w:pStyle w:val="Verzeichnis2"/>
            <w:tabs>
              <w:tab w:val="right" w:leader="dot" w:pos="7927"/>
            </w:tabs>
            <w:rPr>
              <w:rFonts w:cstheme="minorBidi"/>
              <w:noProof/>
            </w:rPr>
          </w:pPr>
          <w:hyperlink w:anchor="_Toc164760495" w:history="1">
            <w:r w:rsidRPr="00B10E24">
              <w:rPr>
                <w:rStyle w:val="Hyperlink"/>
                <w:noProof/>
              </w:rPr>
              <w:t>1.2 – Die Folgen des Homeoffice auf den Wissenstransfer</w:t>
            </w:r>
            <w:r>
              <w:rPr>
                <w:noProof/>
                <w:webHidden/>
              </w:rPr>
              <w:tab/>
            </w:r>
            <w:r>
              <w:rPr>
                <w:noProof/>
                <w:webHidden/>
              </w:rPr>
              <w:fldChar w:fldCharType="begin"/>
            </w:r>
            <w:r>
              <w:rPr>
                <w:noProof/>
                <w:webHidden/>
              </w:rPr>
              <w:instrText xml:space="preserve"> PAGEREF _Toc164760495 \h </w:instrText>
            </w:r>
            <w:r>
              <w:rPr>
                <w:noProof/>
                <w:webHidden/>
              </w:rPr>
            </w:r>
            <w:r>
              <w:rPr>
                <w:noProof/>
                <w:webHidden/>
              </w:rPr>
              <w:fldChar w:fldCharType="separate"/>
            </w:r>
            <w:r>
              <w:rPr>
                <w:noProof/>
                <w:webHidden/>
              </w:rPr>
              <w:t>4</w:t>
            </w:r>
            <w:r>
              <w:rPr>
                <w:noProof/>
                <w:webHidden/>
              </w:rPr>
              <w:fldChar w:fldCharType="end"/>
            </w:r>
          </w:hyperlink>
        </w:p>
        <w:p w14:paraId="53BAC1E9" w14:textId="7EFE15A8" w:rsidR="00933508" w:rsidRDefault="00933508">
          <w:pPr>
            <w:pStyle w:val="Verzeichnis1"/>
            <w:tabs>
              <w:tab w:val="right" w:leader="dot" w:pos="7927"/>
            </w:tabs>
            <w:rPr>
              <w:rFonts w:cstheme="minorBidi"/>
              <w:noProof/>
            </w:rPr>
          </w:pPr>
          <w:hyperlink w:anchor="_Toc164760496" w:history="1">
            <w:r w:rsidRPr="00B10E24">
              <w:rPr>
                <w:rStyle w:val="Hyperlink"/>
                <w:noProof/>
              </w:rPr>
              <w:t>2 – Wissensmanagementstrategien für die Arbeit im Homeoffice</w:t>
            </w:r>
            <w:r>
              <w:rPr>
                <w:noProof/>
                <w:webHidden/>
              </w:rPr>
              <w:tab/>
            </w:r>
            <w:r>
              <w:rPr>
                <w:noProof/>
                <w:webHidden/>
              </w:rPr>
              <w:fldChar w:fldCharType="begin"/>
            </w:r>
            <w:r>
              <w:rPr>
                <w:noProof/>
                <w:webHidden/>
              </w:rPr>
              <w:instrText xml:space="preserve"> PAGEREF _Toc164760496 \h </w:instrText>
            </w:r>
            <w:r>
              <w:rPr>
                <w:noProof/>
                <w:webHidden/>
              </w:rPr>
            </w:r>
            <w:r>
              <w:rPr>
                <w:noProof/>
                <w:webHidden/>
              </w:rPr>
              <w:fldChar w:fldCharType="separate"/>
            </w:r>
            <w:r>
              <w:rPr>
                <w:noProof/>
                <w:webHidden/>
              </w:rPr>
              <w:t>5</w:t>
            </w:r>
            <w:r>
              <w:rPr>
                <w:noProof/>
                <w:webHidden/>
              </w:rPr>
              <w:fldChar w:fldCharType="end"/>
            </w:r>
          </w:hyperlink>
        </w:p>
        <w:p w14:paraId="3EADF9B0" w14:textId="45164B1D" w:rsidR="00933508" w:rsidRDefault="00933508">
          <w:pPr>
            <w:pStyle w:val="Verzeichnis2"/>
            <w:tabs>
              <w:tab w:val="right" w:leader="dot" w:pos="7927"/>
            </w:tabs>
            <w:rPr>
              <w:rFonts w:cstheme="minorBidi"/>
              <w:noProof/>
            </w:rPr>
          </w:pPr>
          <w:hyperlink w:anchor="_Toc164760497" w:history="1">
            <w:r w:rsidRPr="00B10E24">
              <w:rPr>
                <w:rStyle w:val="Hyperlink"/>
                <w:noProof/>
              </w:rPr>
              <w:t>2.1 – Methoden und Modelle des Wissensmanagements</w:t>
            </w:r>
            <w:r>
              <w:rPr>
                <w:noProof/>
                <w:webHidden/>
              </w:rPr>
              <w:tab/>
            </w:r>
            <w:r>
              <w:rPr>
                <w:noProof/>
                <w:webHidden/>
              </w:rPr>
              <w:fldChar w:fldCharType="begin"/>
            </w:r>
            <w:r>
              <w:rPr>
                <w:noProof/>
                <w:webHidden/>
              </w:rPr>
              <w:instrText xml:space="preserve"> PAGEREF _Toc164760497 \h </w:instrText>
            </w:r>
            <w:r>
              <w:rPr>
                <w:noProof/>
                <w:webHidden/>
              </w:rPr>
            </w:r>
            <w:r>
              <w:rPr>
                <w:noProof/>
                <w:webHidden/>
              </w:rPr>
              <w:fldChar w:fldCharType="separate"/>
            </w:r>
            <w:r>
              <w:rPr>
                <w:noProof/>
                <w:webHidden/>
              </w:rPr>
              <w:t>5</w:t>
            </w:r>
            <w:r>
              <w:rPr>
                <w:noProof/>
                <w:webHidden/>
              </w:rPr>
              <w:fldChar w:fldCharType="end"/>
            </w:r>
          </w:hyperlink>
        </w:p>
        <w:p w14:paraId="335099F3" w14:textId="584998E5" w:rsidR="00933508" w:rsidRDefault="00933508">
          <w:pPr>
            <w:pStyle w:val="Verzeichnis2"/>
            <w:tabs>
              <w:tab w:val="right" w:leader="dot" w:pos="7927"/>
            </w:tabs>
            <w:rPr>
              <w:rFonts w:cstheme="minorBidi"/>
              <w:noProof/>
            </w:rPr>
          </w:pPr>
          <w:hyperlink w:anchor="_Toc164760498" w:history="1">
            <w:r w:rsidRPr="00B10E24">
              <w:rPr>
                <w:rStyle w:val="Hyperlink"/>
                <w:noProof/>
              </w:rPr>
              <w:t>2.2 – Fazit und Handlungsempfehlung für die IKS</w:t>
            </w:r>
            <w:r>
              <w:rPr>
                <w:noProof/>
                <w:webHidden/>
              </w:rPr>
              <w:tab/>
            </w:r>
            <w:r>
              <w:rPr>
                <w:noProof/>
                <w:webHidden/>
              </w:rPr>
              <w:fldChar w:fldCharType="begin"/>
            </w:r>
            <w:r>
              <w:rPr>
                <w:noProof/>
                <w:webHidden/>
              </w:rPr>
              <w:instrText xml:space="preserve"> PAGEREF _Toc164760498 \h </w:instrText>
            </w:r>
            <w:r>
              <w:rPr>
                <w:noProof/>
                <w:webHidden/>
              </w:rPr>
            </w:r>
            <w:r>
              <w:rPr>
                <w:noProof/>
                <w:webHidden/>
              </w:rPr>
              <w:fldChar w:fldCharType="separate"/>
            </w:r>
            <w:r>
              <w:rPr>
                <w:noProof/>
                <w:webHidden/>
              </w:rPr>
              <w:t>5</w:t>
            </w:r>
            <w:r>
              <w:rPr>
                <w:noProof/>
                <w:webHidden/>
              </w:rPr>
              <w:fldChar w:fldCharType="end"/>
            </w:r>
          </w:hyperlink>
        </w:p>
        <w:p w14:paraId="01EBD681" w14:textId="6151D33F" w:rsidR="009C1096" w:rsidRDefault="009C1096">
          <w:r>
            <w:rPr>
              <w:b/>
              <w:bCs/>
            </w:rPr>
            <w:fldChar w:fldCharType="end"/>
          </w:r>
        </w:p>
      </w:sdtContent>
    </w:sdt>
    <w:p w14:paraId="3CEE2B3C" w14:textId="15CFF326" w:rsidR="009C1096" w:rsidRDefault="009C1096" w:rsidP="009C1096"/>
    <w:p w14:paraId="65AFAB87" w14:textId="77777777" w:rsidR="009C1096" w:rsidRDefault="009C1096">
      <w:r>
        <w:br w:type="page"/>
      </w:r>
    </w:p>
    <w:p w14:paraId="0A55BA12" w14:textId="598190E7" w:rsidR="00172519" w:rsidRDefault="00933508" w:rsidP="009C1096">
      <w:commentRangeStart w:id="1"/>
      <w:r>
        <w:lastRenderedPageBreak/>
        <w:t>Aus Gründen der besseren Lesbarkeit wird in dieser Arbeit überwiegend das generische Maskulinum verwendet. Dies impliziert beide Formen, schließt also das weibliche Geschlecht mit ein.</w:t>
      </w:r>
      <w:commentRangeEnd w:id="1"/>
      <w:r>
        <w:rPr>
          <w:rStyle w:val="Kommentarzeichen"/>
        </w:rPr>
        <w:commentReference w:id="1"/>
      </w:r>
    </w:p>
    <w:p w14:paraId="63F426B6" w14:textId="77777777" w:rsidR="00172519" w:rsidRDefault="00172519">
      <w:r>
        <w:br w:type="page"/>
      </w:r>
    </w:p>
    <w:p w14:paraId="19DFBE51" w14:textId="77777777" w:rsidR="009C1096" w:rsidRPr="009C1096" w:rsidRDefault="009C1096" w:rsidP="00172519">
      <w:pPr>
        <w:jc w:val="both"/>
        <w:sectPr w:rsidR="009C1096" w:rsidRPr="009C1096" w:rsidSect="00172519">
          <w:footerReference w:type="default" r:id="rId14"/>
          <w:pgSz w:w="11906" w:h="16838"/>
          <w:pgMar w:top="1418" w:right="1701" w:bottom="1418" w:left="2268" w:header="709" w:footer="709" w:gutter="0"/>
          <w:pgNumType w:fmt="upperRoman" w:start="1"/>
          <w:cols w:space="708"/>
          <w:titlePg/>
          <w:docGrid w:linePitch="360"/>
        </w:sectPr>
      </w:pPr>
    </w:p>
    <w:p w14:paraId="5F49A70C" w14:textId="6ED6BFF8" w:rsidR="00AA38F5" w:rsidRPr="00350D86" w:rsidRDefault="00397DCF" w:rsidP="008F23D2">
      <w:pPr>
        <w:pStyle w:val="berschrift1"/>
        <w:spacing w:line="360" w:lineRule="auto"/>
        <w:jc w:val="center"/>
        <w:rPr>
          <w:sz w:val="28"/>
          <w:szCs w:val="28"/>
        </w:rPr>
      </w:pPr>
      <w:bookmarkStart w:id="2" w:name="_Toc164758898"/>
      <w:bookmarkStart w:id="3" w:name="_Toc164760492"/>
      <w:r w:rsidRPr="00350D86">
        <w:rPr>
          <w:sz w:val="28"/>
          <w:szCs w:val="28"/>
        </w:rPr>
        <w:lastRenderedPageBreak/>
        <w:t>Einleitung</w:t>
      </w:r>
      <w:bookmarkEnd w:id="2"/>
      <w:bookmarkEnd w:id="3"/>
    </w:p>
    <w:p w14:paraId="0A88E2A2" w14:textId="77777777" w:rsidR="00397DCF" w:rsidRDefault="00397DCF" w:rsidP="00A62100">
      <w:pPr>
        <w:spacing w:line="360" w:lineRule="auto"/>
        <w:jc w:val="both"/>
      </w:pPr>
    </w:p>
    <w:p w14:paraId="6AA15CBC" w14:textId="23BE28E0" w:rsidR="005F6601" w:rsidRDefault="00397DCF" w:rsidP="00A62100">
      <w:pPr>
        <w:spacing w:line="360" w:lineRule="auto"/>
        <w:jc w:val="both"/>
      </w:pPr>
      <w:commentRangeStart w:id="4"/>
      <w:commentRangeStart w:id="5"/>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Diese Aussage war und ist eine grundlegende Realität</w:t>
      </w:r>
      <w:commentRangeEnd w:id="4"/>
      <w:r w:rsidR="00304812">
        <w:rPr>
          <w:rStyle w:val="Kommentarzeichen"/>
        </w:rPr>
        <w:commentReference w:id="4"/>
      </w:r>
      <w:commentRangeEnd w:id="5"/>
      <w:r w:rsidR="00F802D7">
        <w:rPr>
          <w:rStyle w:val="Kommentarzeichen"/>
        </w:rPr>
        <w:commentReference w:id="5"/>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6"/>
      <w:r w:rsidR="00FD603C">
        <w:t xml:space="preserve">vgl. Hochreutener und Bleiker (2022, S.88 </w:t>
      </w:r>
      <w:r w:rsidR="00226C33">
        <w:t>f.</w:t>
      </w:r>
      <w:r w:rsidR="00FD603C">
        <w:t xml:space="preserve">). </w:t>
      </w:r>
      <w:commentRangeEnd w:id="6"/>
      <w:r w:rsidR="00FD603C">
        <w:rPr>
          <w:rStyle w:val="Kommentarzeichen"/>
        </w:rPr>
        <w:commentReference w:id="6"/>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7"/>
      <w:r w:rsidR="006C15E5">
        <w:t>vgl. Krüger (2023, S.1)</w:t>
      </w:r>
      <w:commentRangeEnd w:id="7"/>
      <w:r w:rsidR="006C15E5">
        <w:rPr>
          <w:rStyle w:val="Kommentarzeichen"/>
        </w:rPr>
        <w:commentReference w:id="7"/>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8"/>
      <w:r w:rsidR="00027F03">
        <w:t>vgl.</w:t>
      </w:r>
      <w:r w:rsidR="00226C33">
        <w:t xml:space="preserve"> </w:t>
      </w:r>
      <w:r w:rsidR="00C13466">
        <w:t>s</w:t>
      </w:r>
      <w:r w:rsidR="00226C33">
        <w:t>tatistisches Bundesamt (202</w:t>
      </w:r>
      <w:r w:rsidR="00C13466">
        <w:t>3, Arbeit von zu Hause in ausgewählten Wirtschaftsbereichen 2022)</w:t>
      </w:r>
      <w:commentRangeEnd w:id="8"/>
      <w:r w:rsidR="00C13466">
        <w:rPr>
          <w:rStyle w:val="Kommentarzeichen"/>
        </w:rPr>
        <w:commentReference w:id="8"/>
      </w:r>
      <w:r w:rsidR="00C13466">
        <w:t>. Deswegen stellt sich die Frage: Wie beeinflusst das Homeoffice das Wissensmanagement?</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bookmarkStart w:id="9" w:name="_Toc164758899"/>
      <w:bookmarkStart w:id="10" w:name="_Toc164760493"/>
      <w:r>
        <w:rPr>
          <w:sz w:val="28"/>
          <w:szCs w:val="28"/>
        </w:rPr>
        <w:lastRenderedPageBreak/>
        <w:t>1 – Auswirkungen des Homeoffice auf das Wissensmanagement</w:t>
      </w:r>
      <w:bookmarkEnd w:id="9"/>
      <w:bookmarkEnd w:id="10"/>
    </w:p>
    <w:p w14:paraId="16FE5396" w14:textId="35D95C50" w:rsidR="00350D86" w:rsidRDefault="00350D86" w:rsidP="00A62100">
      <w:pPr>
        <w:spacing w:line="360" w:lineRule="auto"/>
        <w:jc w:val="both"/>
      </w:pPr>
    </w:p>
    <w:p w14:paraId="28102B07" w14:textId="39E9FCAD"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49FC5462"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11"/>
      <w:r w:rsidR="00867493">
        <w:t>vgl. Hochreutener und Bleiker (2022, S.88)</w:t>
      </w:r>
      <w:commentRangeEnd w:id="11"/>
      <w:r w:rsidR="00867493">
        <w:rPr>
          <w:rStyle w:val="Kommentarzeichen"/>
        </w:rPr>
        <w:commentReference w:id="11"/>
      </w:r>
      <w:r>
        <w:t xml:space="preserve">. Darauf aufbauend, versteht man das Wissensmanagement als Versuch, das Vorhanden Wissen in einer Organisation </w:t>
      </w:r>
      <w:commentRangeStart w:id="12"/>
      <w:commentRangeStart w:id="13"/>
      <w:r>
        <w:t>zu erweitern, verteilen,</w:t>
      </w:r>
      <w:r w:rsidR="00F802D7">
        <w:t xml:space="preserve"> </w:t>
      </w:r>
      <w:r>
        <w:t xml:space="preserve">sichern und aktualisieren. </w:t>
      </w:r>
      <w:commentRangeEnd w:id="12"/>
      <w:r w:rsidR="00304812">
        <w:rPr>
          <w:rStyle w:val="Kommentarzeichen"/>
        </w:rPr>
        <w:commentReference w:id="12"/>
      </w:r>
      <w:commentRangeEnd w:id="13"/>
      <w:r w:rsidR="00F802D7">
        <w:rPr>
          <w:rStyle w:val="Kommentarzeichen"/>
        </w:rPr>
        <w:commentReference w:id="13"/>
      </w:r>
      <w:r>
        <w:t xml:space="preserve">Dadurch möchte das Wissensmanagement einen Wettbewerbsvorteil und Mehrwert für die Organisation </w:t>
      </w:r>
      <w:commentRangeStart w:id="14"/>
      <w:r>
        <w:t>schaffen vgl. Hochreutener und Bleiker (2022, S.89).</w:t>
      </w:r>
      <w:r w:rsidR="000E6ABA">
        <w:t xml:space="preserve"> </w:t>
      </w:r>
      <w:commentRangeEnd w:id="14"/>
      <w:r w:rsidR="0055205B">
        <w:rPr>
          <w:rStyle w:val="Kommentarzeichen"/>
        </w:rPr>
        <w:commentReference w:id="14"/>
      </w:r>
    </w:p>
    <w:p w14:paraId="70FB3923" w14:textId="57C4594C" w:rsidR="00403737" w:rsidRDefault="00403737" w:rsidP="008F23D2">
      <w:pPr>
        <w:spacing w:line="360" w:lineRule="auto"/>
        <w:jc w:val="center"/>
      </w:pPr>
    </w:p>
    <w:p w14:paraId="22A29C57" w14:textId="7F3FDA18" w:rsidR="00403737" w:rsidRDefault="009C1096" w:rsidP="008F23D2">
      <w:pPr>
        <w:pStyle w:val="berschrift2"/>
        <w:numPr>
          <w:ilvl w:val="1"/>
          <w:numId w:val="8"/>
        </w:numPr>
        <w:spacing w:line="360" w:lineRule="auto"/>
        <w:jc w:val="center"/>
      </w:pPr>
      <w:bookmarkStart w:id="15" w:name="_Toc164758900"/>
      <w:bookmarkStart w:id="16" w:name="_Toc164760494"/>
      <w:r>
        <w:rPr>
          <w:sz w:val="28"/>
          <w:szCs w:val="28"/>
        </w:rPr>
        <w:t xml:space="preserve">– </w:t>
      </w:r>
      <w:r w:rsidR="00811F6A">
        <w:t>Kernprinzipien des Wissensmanagements</w:t>
      </w:r>
      <w:bookmarkEnd w:id="15"/>
      <w:bookmarkEnd w:id="16"/>
    </w:p>
    <w:p w14:paraId="209512E3" w14:textId="116F94F8" w:rsidR="00811F6A" w:rsidRDefault="00811F6A" w:rsidP="00A62100">
      <w:pPr>
        <w:spacing w:line="360" w:lineRule="auto"/>
        <w:jc w:val="both"/>
      </w:pPr>
    </w:p>
    <w:p w14:paraId="028933F9" w14:textId="62260695"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dem Consulting Business, erhoffte man sich durch das handhabbar machen von Wissen einen Wettbewerbsvorteil. Doch etablierten viele Unternehmen das Wissensmanagement erst sehr spät, denn es galt nach </w:t>
      </w:r>
      <w:r w:rsidR="00F802D7">
        <w:t>der Informationstechnik</w:t>
      </w:r>
      <w:commentRangeStart w:id="17"/>
      <w:r w:rsidR="0055205B">
        <w:t xml:space="preserve">, </w:t>
      </w:r>
      <w:commentRangeEnd w:id="17"/>
      <w:r w:rsidR="00F802D7">
        <w:t>den Human Resources</w:t>
      </w:r>
      <w:r w:rsidR="00304812">
        <w:rPr>
          <w:rStyle w:val="Kommentarzeichen"/>
        </w:rPr>
        <w:commentReference w:id="17"/>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8"/>
      <w:r w:rsidR="0055205B">
        <w:t>vgl. Grasshoff (2023, S.3 f.)</w:t>
      </w:r>
      <w:commentRangeEnd w:id="18"/>
      <w:r w:rsidR="0055205B">
        <w:rPr>
          <w:rStyle w:val="Kommentarzeichen"/>
        </w:rPr>
        <w:commentReference w:id="18"/>
      </w:r>
      <w:r w:rsidR="001F1C86">
        <w:t>.</w:t>
      </w:r>
      <w:r w:rsidR="0055205B">
        <w:t xml:space="preserve"> </w:t>
      </w:r>
      <w:r w:rsidR="001F1C86">
        <w:t xml:space="preserve"> Die Ressource „Wissen“ wurde damals </w:t>
      </w:r>
      <w:r w:rsidR="00013670">
        <w:t xml:space="preserve">als etwas </w:t>
      </w:r>
      <w:commentRangeStart w:id="19"/>
      <w:commentRangeStart w:id="20"/>
      <w:r w:rsidR="00F802D7">
        <w:t>Eindeutiges</w:t>
      </w:r>
      <w:r w:rsidR="00013670">
        <w:t xml:space="preserve"> und klar </w:t>
      </w:r>
      <w:r w:rsidR="00F802D7">
        <w:t>Definierbares</w:t>
      </w:r>
      <w:r w:rsidR="00013670">
        <w:t xml:space="preserve"> </w:t>
      </w:r>
      <w:commentRangeEnd w:id="19"/>
      <w:r w:rsidR="00304812">
        <w:rPr>
          <w:rStyle w:val="Kommentarzeichen"/>
        </w:rPr>
        <w:commentReference w:id="19"/>
      </w:r>
      <w:commentRangeEnd w:id="20"/>
      <w:r w:rsidR="00F802D7">
        <w:rPr>
          <w:rStyle w:val="Kommentarzeichen"/>
        </w:rPr>
        <w:commentReference w:id="20"/>
      </w:r>
      <w:r w:rsidR="00013670">
        <w:t xml:space="preserve">verstanden </w:t>
      </w:r>
      <w:commentRangeStart w:id="21"/>
      <w:r w:rsidR="00013670">
        <w:t>vgl. Nonaka und Takeuchi (1995, S.23)</w:t>
      </w:r>
      <w:commentRangeEnd w:id="21"/>
      <w:r w:rsidR="00013670">
        <w:rPr>
          <w:rStyle w:val="Kommentarzeichen"/>
        </w:rPr>
        <w:commentReference w:id="21"/>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22"/>
      <w:r w:rsidR="004B6A88">
        <w:t>vgl. Grasshoff (2023, S.4)</w:t>
      </w:r>
      <w:commentRangeEnd w:id="22"/>
      <w:r w:rsidR="004B6A88">
        <w:rPr>
          <w:rStyle w:val="Kommentarzeichen"/>
        </w:rPr>
        <w:commentReference w:id="22"/>
      </w:r>
      <w:r w:rsidR="004B6A88">
        <w:t xml:space="preserve">.  </w:t>
      </w:r>
    </w:p>
    <w:p w14:paraId="03F14223" w14:textId="11F6C717" w:rsidR="00811F6A" w:rsidRDefault="00C71F19" w:rsidP="00A62100">
      <w:pPr>
        <w:spacing w:line="360" w:lineRule="auto"/>
        <w:jc w:val="both"/>
      </w:pPr>
      <w:r>
        <w:lastRenderedPageBreak/>
        <w:t xml:space="preserve">Doch ein solches Wissensmanagement, welches ausschließlich auf die Verbreitung von explizitem Wissen ausgerichtet war, konnte nie die Ziele erreichen, die man sich erhoffte </w:t>
      </w:r>
      <w:commentRangeStart w:id="23"/>
      <w:r>
        <w:t>vgl. Grasshoff (2023, S.4).</w:t>
      </w:r>
      <w:commentRangeEnd w:id="23"/>
      <w:r>
        <w:rPr>
          <w:rStyle w:val="Kommentarzeichen"/>
        </w:rPr>
        <w:commentReference w:id="23"/>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24"/>
      <w:r w:rsidR="00AB1581">
        <w:t>vgl. Nonaka und Takeuchi (1995, S.24).</w:t>
      </w:r>
      <w:commentRangeEnd w:id="24"/>
      <w:r w:rsidR="00AB1581">
        <w:rPr>
          <w:rStyle w:val="Kommentarzeichen"/>
        </w:rPr>
        <w:commentReference w:id="24"/>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25"/>
      <w:r w:rsidR="005C0ADF">
        <w:t>vgl. Nonaka und Takeuchi (1995, S.24).</w:t>
      </w:r>
      <w:commentRangeEnd w:id="25"/>
      <w:r w:rsidR="005C0ADF">
        <w:rPr>
          <w:rStyle w:val="Kommentarzeichen"/>
        </w:rPr>
        <w:commentReference w:id="25"/>
      </w:r>
      <w:r w:rsidR="002851D2">
        <w:t xml:space="preserve"> </w:t>
      </w:r>
      <w:r w:rsidR="00D208C6">
        <w:t xml:space="preserve">„Für ein erfolgreiches Wissensmanagement ist nicht nur die Unterscheidung zwischen implizitem und explizitem, sondern auch zwischen individuellen und </w:t>
      </w:r>
      <w:r w:rsidR="003D0F7D">
        <w:t>organisationalen</w:t>
      </w:r>
      <w:r w:rsidR="00D208C6">
        <w:t xml:space="preserve"> Wissen relevant.“</w:t>
      </w:r>
      <w:r w:rsidR="001D7F92">
        <w:t xml:space="preserve"> </w:t>
      </w:r>
      <w:commentRangeStart w:id="26"/>
      <w:r w:rsidR="001D7F92">
        <w:t>(Hochreutener und Bleiker 2022, S.90).</w:t>
      </w:r>
      <w:commentRangeEnd w:id="26"/>
      <w:r w:rsidR="001D7F92">
        <w:rPr>
          <w:rStyle w:val="Kommentarzeichen"/>
        </w:rPr>
        <w:commentReference w:id="26"/>
      </w:r>
      <w:r w:rsidR="001D7F92">
        <w:t xml:space="preserve"> Genau auf diesen Prozess der Wissenskodifizierung zielen Nonaka </w:t>
      </w:r>
      <w:r w:rsidR="00F802D7">
        <w:t>und T</w:t>
      </w:r>
      <w:r w:rsidR="001D7F92">
        <w:t xml:space="preserve">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27"/>
      <w:r w:rsidR="0034730A">
        <w:t>vgl. Nonaka und Takeuchi (1995, S.72 f.)</w:t>
      </w:r>
      <w:r w:rsidR="00CF0B17">
        <w:t>.</w:t>
      </w:r>
      <w:r w:rsidR="0034730A">
        <w:t xml:space="preserve"> </w:t>
      </w:r>
      <w:commentRangeEnd w:id="27"/>
      <w:r w:rsidR="00CF0B17">
        <w:rPr>
          <w:rStyle w:val="Kommentarzeichen"/>
        </w:rPr>
        <w:commentReference w:id="27"/>
      </w:r>
      <w:r w:rsidR="00C705E4">
        <w:t xml:space="preserve">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t>
      </w:r>
      <w:r w:rsidR="003D0F7D">
        <w:t>W</w:t>
      </w:r>
      <w:r w:rsidR="00C705E4">
        <w:t>issen zwischen Individuen. Es handelt sich um den Prozess, bei dem implizite</w:t>
      </w:r>
      <w:r w:rsidR="00F435CE">
        <w:t xml:space="preserve"> Erfahrungen und Kenntnisse umgewandelt werden </w:t>
      </w:r>
      <w:commentRangeStart w:id="28"/>
      <w:r w:rsidR="00F435CE">
        <w:t>vgl. Nonaka und Takeuchi (1995, S.80).</w:t>
      </w:r>
      <w:commentRangeEnd w:id="28"/>
      <w:r w:rsidR="00F435CE">
        <w:rPr>
          <w:rStyle w:val="Kommentarzeichen"/>
        </w:rPr>
        <w:commentReference w:id="28"/>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29"/>
      <w:r w:rsidR="00F435CE">
        <w:t>vgl. Bächle (2016, S.78).</w:t>
      </w:r>
      <w:commentRangeEnd w:id="29"/>
      <w:r w:rsidR="00F435CE">
        <w:rPr>
          <w:rStyle w:val="Kommentarzeichen"/>
        </w:rPr>
        <w:commentReference w:id="29"/>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30"/>
      <w:r w:rsidR="002E190F">
        <w:t>vgl. Bächle (2016, S.78).</w:t>
      </w:r>
      <w:commentRangeEnd w:id="30"/>
      <w:r w:rsidR="00D94D1B">
        <w:rPr>
          <w:rStyle w:val="Kommentarzeichen"/>
        </w:rPr>
        <w:commentReference w:id="30"/>
      </w:r>
      <w:r w:rsidR="00D94D1B">
        <w:t xml:space="preserve"> </w:t>
      </w:r>
      <w:r w:rsidR="00EE4C10">
        <w:t xml:space="preserve">Der Prozess, bei dem explizites Wissen durch </w:t>
      </w:r>
      <w:r w:rsidR="00EE4C10">
        <w:lastRenderedPageBreak/>
        <w:t xml:space="preserve">wiederholte Anwendung in implizites Wissen übergeht, wird von </w:t>
      </w:r>
      <w:commentRangeStart w:id="31"/>
      <w:r w:rsidR="00EE4C10">
        <w:t>Nonaka und Takeuchi (1995, S.87</w:t>
      </w:r>
      <w:commentRangeEnd w:id="31"/>
      <w:r w:rsidR="00EE4C10">
        <w:rPr>
          <w:rStyle w:val="Kommentarzeichen"/>
        </w:rPr>
        <w:commentReference w:id="31"/>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703B31F1" w:rsidR="00B67B7E"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32"/>
      <w:r w:rsidR="00F65F12">
        <w:t>vgl. Lehner (2021, S.61)</w:t>
      </w:r>
      <w:commentRangeEnd w:id="32"/>
      <w:r w:rsidR="00F65F12">
        <w:rPr>
          <w:rStyle w:val="Kommentarzeichen"/>
        </w:rPr>
        <w:commentReference w:id="32"/>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33"/>
      <w:r w:rsidR="00280618">
        <w:t>vgl. Lehner (2021, S.61).</w:t>
      </w:r>
      <w:commentRangeEnd w:id="33"/>
      <w:r w:rsidR="00280618">
        <w:rPr>
          <w:rStyle w:val="Kommentarzeichen"/>
        </w:rPr>
        <w:commentReference w:id="33"/>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34"/>
      <w:r w:rsidR="00EE4659">
        <w:t>vgl. Lehner (2021, S.61).</w:t>
      </w:r>
      <w:commentRangeEnd w:id="34"/>
      <w:r w:rsidR="00EE4659">
        <w:rPr>
          <w:rStyle w:val="Kommentarzeichen"/>
        </w:rPr>
        <w:commentReference w:id="34"/>
      </w:r>
      <w:r w:rsidR="000E74D2">
        <w:t xml:space="preserve"> </w:t>
      </w:r>
      <w:r w:rsidR="00275875">
        <w:t xml:space="preserve">In der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35"/>
      <w:r w:rsidR="00AA3ADD">
        <w:t>vgl. Bächle (2016, S.76 f.).</w:t>
      </w:r>
      <w:commentRangeEnd w:id="35"/>
      <w:r w:rsidR="00AA3ADD">
        <w:rPr>
          <w:rStyle w:val="Kommentarzeichen"/>
        </w:rPr>
        <w:commentReference w:id="35"/>
      </w:r>
      <w:r w:rsidR="004334F5">
        <w:t xml:space="preserve"> </w:t>
      </w:r>
    </w:p>
    <w:p w14:paraId="29F7E07D" w14:textId="256BF1A8" w:rsidR="008F23D2" w:rsidRDefault="008F23D2" w:rsidP="00A62100">
      <w:pPr>
        <w:spacing w:line="360" w:lineRule="auto"/>
        <w:jc w:val="both"/>
      </w:pPr>
    </w:p>
    <w:p w14:paraId="02FF3B96" w14:textId="28F51DCE" w:rsidR="008F23D2" w:rsidRDefault="008F23D2" w:rsidP="00405107">
      <w:pPr>
        <w:pStyle w:val="berschrift2"/>
        <w:jc w:val="center"/>
      </w:pPr>
      <w:bookmarkStart w:id="36" w:name="_Toc164758901"/>
      <w:bookmarkStart w:id="37" w:name="_Toc164760495"/>
      <w:r>
        <w:t>1.2 –</w:t>
      </w:r>
      <w:r w:rsidRPr="00311FE1">
        <w:t xml:space="preserve"> </w:t>
      </w:r>
      <w:r>
        <w:t xml:space="preserve">Die Folgen des Homeoffice </w:t>
      </w:r>
      <w:r w:rsidR="00933508">
        <w:t>auf den</w:t>
      </w:r>
      <w:r>
        <w:t xml:space="preserve"> Wissenstransfer</w:t>
      </w:r>
      <w:bookmarkEnd w:id="36"/>
      <w:bookmarkEnd w:id="37"/>
    </w:p>
    <w:p w14:paraId="149D957A" w14:textId="77777777" w:rsidR="008F23D2" w:rsidRDefault="008F23D2" w:rsidP="008F23D2"/>
    <w:p w14:paraId="39227021" w14:textId="65E42EDA" w:rsidR="008F23D2" w:rsidRDefault="008F23D2" w:rsidP="00405107">
      <w:pPr>
        <w:spacing w:line="360" w:lineRule="auto"/>
        <w:jc w:val="both"/>
      </w:pPr>
      <w:r w:rsidRPr="00405107">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38"/>
      <w:r w:rsidRPr="00405107">
        <w:t>vgl. Kugler und Neumüller (2022, S.2).</w:t>
      </w:r>
      <w:commentRangeEnd w:id="38"/>
      <w:r w:rsidRPr="00405107">
        <w:rPr>
          <w:rStyle w:val="Kommentarzeichen"/>
          <w:sz w:val="22"/>
          <w:szCs w:val="22"/>
        </w:rPr>
        <w:commentReference w:id="38"/>
      </w:r>
      <w:r w:rsidR="00D74911" w:rsidRPr="00405107">
        <w:t xml:space="preserve"> </w:t>
      </w:r>
      <w:r w:rsidR="008F0C6B" w:rsidRPr="00405107">
        <w:t xml:space="preserve">Aus diesem Grund hat sich das Homeoffice bzw. das flexible Arbeiten auch nach der Pandemie fest in den Arbeitsalltag eingebunden. </w:t>
      </w:r>
      <w:r w:rsidR="008F0C6B" w:rsidRPr="00405107">
        <w:lastRenderedPageBreak/>
        <w:t xml:space="preserve">Vor allem die „Wissensarbeiter“, also die Personen, deren Tätigkeit größtenteils im Kopf und mit dem Computer stattfinden, können von der neuen Arbeitssituation profitieren </w:t>
      </w:r>
      <w:commentRangeStart w:id="39"/>
      <w:r w:rsidR="008F0C6B" w:rsidRPr="00405107">
        <w:t>vgl. Kugler und Neumüller (2022, S.13).</w:t>
      </w:r>
      <w:commentRangeEnd w:id="39"/>
      <w:r w:rsidR="008F0C6B" w:rsidRPr="00405107">
        <w:rPr>
          <w:rStyle w:val="Kommentarzeichen"/>
          <w:sz w:val="22"/>
          <w:szCs w:val="22"/>
        </w:rPr>
        <w:commentReference w:id="39"/>
      </w:r>
      <w:r w:rsidR="005F0458" w:rsidRPr="00405107">
        <w:t xml:space="preserve"> Passend dazu konnten Kunze, </w:t>
      </w:r>
      <w:commentRangeStart w:id="40"/>
      <w:r w:rsidR="005F0458" w:rsidRPr="00405107">
        <w:t xml:space="preserve">Hampel und Zimmermann (2020, S.3 f.) </w:t>
      </w:r>
      <w:commentRangeEnd w:id="40"/>
      <w:r w:rsidR="00683057" w:rsidRPr="00405107">
        <w:rPr>
          <w:rStyle w:val="Kommentarzeichen"/>
          <w:sz w:val="22"/>
          <w:szCs w:val="22"/>
        </w:rPr>
        <w:commentReference w:id="40"/>
      </w:r>
      <w:r w:rsidR="005F0458" w:rsidRPr="00405107">
        <w:t xml:space="preserve">in einer Befragung feststellen, dass der Großteil der Arbeitnehmer sich das Arbeiten in Präsenz </w:t>
      </w:r>
      <w:r w:rsidR="005530AA">
        <w:t xml:space="preserve">nicht </w:t>
      </w:r>
      <w:r w:rsidR="005F0458" w:rsidRPr="00405107">
        <w:t xml:space="preserve">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41"/>
      <w:r w:rsidR="00683057" w:rsidRPr="00405107">
        <w:t>vgl. Kunze, Hampel und Zimmermann (2020, S4).</w:t>
      </w:r>
      <w:commentRangeEnd w:id="41"/>
      <w:r w:rsidR="00850B89" w:rsidRPr="00405107">
        <w:rPr>
          <w:rStyle w:val="Kommentarzeichen"/>
          <w:sz w:val="22"/>
          <w:szCs w:val="22"/>
        </w:rPr>
        <w:commentReference w:id="41"/>
      </w:r>
      <w:r w:rsidR="005F57C6" w:rsidRPr="00405107">
        <w:t xml:space="preserve"> </w:t>
      </w:r>
      <w:bookmarkStart w:id="42" w:name="_GoBack"/>
      <w:bookmarkEnd w:id="42"/>
    </w:p>
    <w:p w14:paraId="54E13719" w14:textId="77777777" w:rsidR="00933508" w:rsidRDefault="00933508" w:rsidP="00405107">
      <w:pPr>
        <w:spacing w:line="360" w:lineRule="auto"/>
        <w:jc w:val="both"/>
      </w:pPr>
    </w:p>
    <w:p w14:paraId="2808961A" w14:textId="37090A82" w:rsidR="00933508" w:rsidRDefault="00933508" w:rsidP="00933508">
      <w:pPr>
        <w:pStyle w:val="berschrift1"/>
        <w:rPr>
          <w:sz w:val="28"/>
          <w:szCs w:val="28"/>
        </w:rPr>
      </w:pPr>
      <w:bookmarkStart w:id="43" w:name="_Toc164760496"/>
      <w:r>
        <w:rPr>
          <w:sz w:val="28"/>
          <w:szCs w:val="28"/>
        </w:rPr>
        <w:t xml:space="preserve">2 </w:t>
      </w:r>
      <w:r>
        <w:t>–</w:t>
      </w:r>
      <w:r w:rsidRPr="00311FE1">
        <w:t xml:space="preserve"> </w:t>
      </w:r>
      <w:r>
        <w:rPr>
          <w:sz w:val="28"/>
          <w:szCs w:val="28"/>
        </w:rPr>
        <w:t>Wissensmanagementstrategien für die Arbeit im Homeoffice</w:t>
      </w:r>
      <w:bookmarkEnd w:id="43"/>
    </w:p>
    <w:p w14:paraId="1101E335" w14:textId="107616B6" w:rsidR="00933508" w:rsidRDefault="00933508" w:rsidP="00933508"/>
    <w:p w14:paraId="1D520F46" w14:textId="04D2AF58" w:rsidR="00933508" w:rsidRDefault="00933508" w:rsidP="00933508">
      <w:pPr>
        <w:pStyle w:val="berschrift2"/>
      </w:pPr>
      <w:bookmarkStart w:id="44" w:name="_Toc164760497"/>
      <w:r>
        <w:t>2.1 – Methoden und Modelle des Wissensmanagements</w:t>
      </w:r>
      <w:bookmarkEnd w:id="44"/>
    </w:p>
    <w:p w14:paraId="219D64D7" w14:textId="77777777" w:rsidR="00933508" w:rsidRPr="00933508" w:rsidRDefault="00933508" w:rsidP="00933508"/>
    <w:p w14:paraId="28AB9A87" w14:textId="5A803DE0" w:rsidR="00933508" w:rsidRPr="00933508" w:rsidRDefault="00933508" w:rsidP="00933508">
      <w:pPr>
        <w:pStyle w:val="berschrift2"/>
      </w:pPr>
      <w:bookmarkStart w:id="45" w:name="_Toc164760498"/>
      <w:r>
        <w:t>2.2 – Fazit und Handlungsempfehlung für die IKS</w:t>
      </w:r>
      <w:bookmarkEnd w:id="45"/>
    </w:p>
    <w:p w14:paraId="43F54DC5" w14:textId="77777777" w:rsidR="00933508" w:rsidRPr="00933508" w:rsidRDefault="00933508" w:rsidP="00933508"/>
    <w:sectPr w:rsidR="00933508" w:rsidRPr="00933508" w:rsidSect="00941697">
      <w:footerReference w:type="default" r:id="rId15"/>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1" w:author="Siggelkow, Jonas" w:date="2024-04-23T10:21:00Z" w:initials="SJ">
    <w:p w14:paraId="5AA0C0CA" w14:textId="21D9B7FA" w:rsidR="00933508" w:rsidRDefault="00933508">
      <w:pPr>
        <w:pStyle w:val="Kommentartext"/>
      </w:pPr>
      <w:r>
        <w:rPr>
          <w:rStyle w:val="Kommentarzeichen"/>
        </w:rPr>
        <w:annotationRef/>
      </w:r>
      <w:r>
        <w:t>Wo soll ich das hin? Und wie soll ich das machen? Musst das dahin?</w:t>
      </w:r>
    </w:p>
  </w:comment>
  <w:comment w:id="4" w:author="Prinz, Fabian" w:date="2024-04-18T16:06:00Z" w:initials="PF">
    <w:p w14:paraId="32BB764C" w14:textId="5D4F44BF" w:rsidR="00304812" w:rsidRDefault="00304812">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5" w:author="Siggelkow, Jonas" w:date="2024-04-18T16:25:00Z" w:initials="SJ">
    <w:p w14:paraId="67D760E9" w14:textId="702033B5" w:rsidR="00F802D7" w:rsidRDefault="00F802D7">
      <w:pPr>
        <w:pStyle w:val="Kommentartext"/>
      </w:pPr>
      <w:r>
        <w:rPr>
          <w:rStyle w:val="Kommentarzeichen"/>
        </w:rPr>
        <w:annotationRef/>
      </w:r>
      <w:r>
        <w:t xml:space="preserve">Es gibt da kein Jahr wo die das gesagt hat… Nur die Jahre wo die gelebt hat </w:t>
      </w:r>
      <w:r>
        <w:sym w:font="Wingdings" w:char="F0E0"/>
      </w:r>
      <w:r>
        <w:t xml:space="preserve"> </w:t>
      </w:r>
      <w:r w:rsidR="008F23D2">
        <w:t>1830 - 1916</w:t>
      </w:r>
    </w:p>
  </w:comment>
  <w:comment w:id="6"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7"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8"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11"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12" w:author="Prinz, Fabian" w:date="2024-04-18T16:06:00Z" w:initials="PF">
    <w:p w14:paraId="267B7103" w14:textId="27AE64AE" w:rsidR="00304812" w:rsidRDefault="00304812">
      <w:pPr>
        <w:pStyle w:val="Kommentartext"/>
      </w:pPr>
      <w:r>
        <w:rPr>
          <w:rStyle w:val="Kommentarzeichen"/>
        </w:rPr>
        <w:annotationRef/>
      </w:r>
      <w:r>
        <w:t>Schöner wäre ohne die ganzen „zu“‘s</w:t>
      </w:r>
    </w:p>
  </w:comment>
  <w:comment w:id="13" w:author="Siggelkow, Jonas" w:date="2024-04-18T16:22:00Z" w:initials="SJ">
    <w:p w14:paraId="703DFD07" w14:textId="27BF4199" w:rsidR="00F802D7" w:rsidRDefault="00F802D7">
      <w:pPr>
        <w:pStyle w:val="Kommentartext"/>
      </w:pPr>
      <w:r>
        <w:rPr>
          <w:rStyle w:val="Kommentarzeichen"/>
        </w:rPr>
        <w:annotationRef/>
      </w:r>
      <w:r>
        <w:t>Habe jetzt nur ein zu am Anfang… das liest sich aber auch ein bisschen komisch meiner Meinung nach… Aber auf jeden Fall besser als vorher</w:t>
      </w:r>
    </w:p>
  </w:comment>
  <w:comment w:id="14"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17" w:author="Prinz, Fabian" w:date="2024-04-18T16:06:00Z" w:initials="PF">
    <w:p w14:paraId="3DB7DFBB" w14:textId="1FA92575" w:rsidR="00304812" w:rsidRDefault="00304812">
      <w:pPr>
        <w:pStyle w:val="Kommentartext"/>
      </w:pPr>
      <w:r>
        <w:rPr>
          <w:rStyle w:val="Kommentarzeichen"/>
        </w:rPr>
        <w:annotationRef/>
      </w:r>
      <w:r>
        <w:t>Begriffe ausschreiben</w:t>
      </w:r>
    </w:p>
  </w:comment>
  <w:comment w:id="18"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19" w:author="Prinz, Fabian" w:date="2024-04-18T16:07:00Z" w:initials="PF">
    <w:p w14:paraId="4C142811" w14:textId="7E08BB34" w:rsidR="00304812" w:rsidRDefault="00304812">
      <w:pPr>
        <w:pStyle w:val="Kommentartext"/>
      </w:pPr>
      <w:r>
        <w:rPr>
          <w:rStyle w:val="Kommentarzeichen"/>
        </w:rPr>
        <w:annotationRef/>
      </w:r>
      <w:r>
        <w:t>Klein schreiben, sind ja Adjektive?</w:t>
      </w:r>
    </w:p>
  </w:comment>
  <w:comment w:id="20" w:author="Siggelkow, Jonas" w:date="2024-04-18T16:20:00Z" w:initials="SJ">
    <w:p w14:paraId="4340716E" w14:textId="6F01769C" w:rsidR="00F802D7" w:rsidRDefault="00F802D7">
      <w:pPr>
        <w:pStyle w:val="Kommentartext"/>
      </w:pPr>
      <w:r>
        <w:rPr>
          <w:rStyle w:val="Kommentarzeichen"/>
        </w:rPr>
        <w:annotationRef/>
      </w:r>
      <w:r>
        <w:t>Die Rechtschreibprüfung sagt es sind nominalisierte Wörter…</w:t>
      </w:r>
    </w:p>
  </w:comment>
  <w:comment w:id="21"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22"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23"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24"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25"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26"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27"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8"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29"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30"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31"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32"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33"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34"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35"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 w:id="38" w:author="Siggelkow, Jonas" w:date="2024-04-18T16:12:00Z" w:initials="SJ">
    <w:p w14:paraId="43FE9D88" w14:textId="72333F65" w:rsidR="008F23D2" w:rsidRPr="00E12EA1" w:rsidRDefault="008F23D2" w:rsidP="008F23D2">
      <w:pPr>
        <w:pStyle w:val="Kommentartext"/>
        <w:rPr>
          <w:b/>
        </w:rPr>
      </w:pPr>
      <w:r>
        <w:rPr>
          <w:rStyle w:val="Kommentarzeichen"/>
        </w:rPr>
        <w:annotationRef/>
      </w:r>
      <w:r>
        <w:t>Indirektes Zitat Hybride Arbeitsgestaltung Herausforderungen und Chancen</w:t>
      </w:r>
      <w:r w:rsidR="00E12EA1">
        <w:t xml:space="preserve"> S.2 </w:t>
      </w:r>
      <w:r w:rsidR="00E12EA1">
        <w:rPr>
          <w:b/>
        </w:rPr>
        <w:t>Zitat 22</w:t>
      </w:r>
    </w:p>
  </w:comment>
  <w:comment w:id="39" w:author="Siggelkow, Jonas" w:date="2024-04-18T16:54:00Z" w:initials="SJ">
    <w:p w14:paraId="62450ECD" w14:textId="105D282C" w:rsidR="008F0C6B" w:rsidRPr="008F0C6B" w:rsidRDefault="008F0C6B">
      <w:pPr>
        <w:pStyle w:val="Kommentartext"/>
        <w:rPr>
          <w:b/>
        </w:rPr>
      </w:pPr>
      <w:r>
        <w:rPr>
          <w:rStyle w:val="Kommentarzeichen"/>
        </w:rPr>
        <w:annotationRef/>
      </w:r>
      <w:r>
        <w:t xml:space="preserve">Indirektes Zitat Hybride Arbeitsgestaltung Herausforderungen und Chancen S.13 </w:t>
      </w:r>
      <w:r>
        <w:rPr>
          <w:b/>
        </w:rPr>
        <w:t>Zitat 23</w:t>
      </w:r>
    </w:p>
  </w:comment>
  <w:comment w:id="40" w:author="Siggelkow, Jonas" w:date="2024-04-18T17:19:00Z" w:initials="SJ">
    <w:p w14:paraId="2DD0625F" w14:textId="0B7E4F07" w:rsidR="00683057" w:rsidRPr="00683057" w:rsidRDefault="00683057">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41" w:author="Siggelkow, Jonas" w:date="2024-04-18T17:27:00Z" w:initials="SJ">
    <w:p w14:paraId="47580050" w14:textId="66777C0D" w:rsidR="00850B89" w:rsidRPr="00850B89" w:rsidRDefault="00850B89">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5AA0C0C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Ex w15:paraId="62450ECD" w15:done="0"/>
  <w15:commentEx w15:paraId="2DD0625F" w15:done="0"/>
  <w15:commentEx w15:paraId="47580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5AA0C0CA" w16cid:durableId="29D20A13"/>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Id w16cid:paraId="62450ECD" w16cid:durableId="29CBCECE"/>
  <w16cid:commentId w16cid:paraId="2DD0625F" w16cid:durableId="29CBD4AF"/>
  <w16cid:commentId w16cid:paraId="47580050" w16cid:durableId="29CBD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9DA2A" w14:textId="77777777" w:rsidR="00232AAD" w:rsidRDefault="00232AAD" w:rsidP="0037354D">
      <w:pPr>
        <w:spacing w:after="0" w:line="240" w:lineRule="auto"/>
      </w:pPr>
      <w:r>
        <w:separator/>
      </w:r>
    </w:p>
  </w:endnote>
  <w:endnote w:type="continuationSeparator" w:id="0">
    <w:p w14:paraId="6EFF7C73" w14:textId="77777777" w:rsidR="00232AAD" w:rsidRDefault="00232AAD"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199478"/>
      <w:docPartObj>
        <w:docPartGallery w:val="Page Numbers (Bottom of Page)"/>
        <w:docPartUnique/>
      </w:docPartObj>
    </w:sdtPr>
    <w:sdtContent>
      <w:p w14:paraId="1F3B95A2" w14:textId="25A911F2" w:rsidR="00172519" w:rsidRDefault="00172519">
        <w:pPr>
          <w:pStyle w:val="Fuzeile"/>
          <w:jc w:val="right"/>
        </w:pPr>
        <w:r>
          <w:fldChar w:fldCharType="begin"/>
        </w:r>
        <w:r>
          <w:instrText>PAGE   \* MERGEFORMAT</w:instrText>
        </w:r>
        <w:r>
          <w:fldChar w:fldCharType="separate"/>
        </w:r>
        <w:r>
          <w:t>2</w:t>
        </w:r>
        <w:r>
          <w:fldChar w:fldCharType="end"/>
        </w:r>
      </w:p>
    </w:sdtContent>
  </w:sdt>
  <w:p w14:paraId="481A14E2" w14:textId="77777777" w:rsidR="00172519" w:rsidRDefault="001725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7F00" w14:textId="77777777" w:rsidR="00232AAD" w:rsidRDefault="00232AAD" w:rsidP="0037354D">
      <w:pPr>
        <w:spacing w:after="0" w:line="240" w:lineRule="auto"/>
      </w:pPr>
      <w:r>
        <w:separator/>
      </w:r>
    </w:p>
  </w:footnote>
  <w:footnote w:type="continuationSeparator" w:id="0">
    <w:p w14:paraId="100008E8" w14:textId="77777777" w:rsidR="00232AAD" w:rsidRDefault="00232AAD"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55205"/>
    <w:rsid w:val="00061807"/>
    <w:rsid w:val="00093B92"/>
    <w:rsid w:val="000E4B32"/>
    <w:rsid w:val="000E6ABA"/>
    <w:rsid w:val="000E74D2"/>
    <w:rsid w:val="000F4072"/>
    <w:rsid w:val="00172519"/>
    <w:rsid w:val="001B10C0"/>
    <w:rsid w:val="001D7F92"/>
    <w:rsid w:val="001F1C86"/>
    <w:rsid w:val="00204F0C"/>
    <w:rsid w:val="00226C33"/>
    <w:rsid w:val="002311C9"/>
    <w:rsid w:val="00232AAD"/>
    <w:rsid w:val="00275875"/>
    <w:rsid w:val="00280618"/>
    <w:rsid w:val="002851D2"/>
    <w:rsid w:val="002A6334"/>
    <w:rsid w:val="002E190F"/>
    <w:rsid w:val="00304812"/>
    <w:rsid w:val="0034730A"/>
    <w:rsid w:val="00350D86"/>
    <w:rsid w:val="00367017"/>
    <w:rsid w:val="0037354D"/>
    <w:rsid w:val="0037420C"/>
    <w:rsid w:val="00397DCF"/>
    <w:rsid w:val="003D0F7D"/>
    <w:rsid w:val="00403737"/>
    <w:rsid w:val="00405107"/>
    <w:rsid w:val="004334F5"/>
    <w:rsid w:val="0044283B"/>
    <w:rsid w:val="00490AB0"/>
    <w:rsid w:val="004911B4"/>
    <w:rsid w:val="004B6A88"/>
    <w:rsid w:val="0055205B"/>
    <w:rsid w:val="005530AA"/>
    <w:rsid w:val="005C0ADF"/>
    <w:rsid w:val="005D5B5C"/>
    <w:rsid w:val="005F0458"/>
    <w:rsid w:val="005F57C6"/>
    <w:rsid w:val="005F6601"/>
    <w:rsid w:val="005F6686"/>
    <w:rsid w:val="00683057"/>
    <w:rsid w:val="006930A2"/>
    <w:rsid w:val="006C15E5"/>
    <w:rsid w:val="00731502"/>
    <w:rsid w:val="00741A80"/>
    <w:rsid w:val="007D6689"/>
    <w:rsid w:val="00811F6A"/>
    <w:rsid w:val="00850B89"/>
    <w:rsid w:val="00867493"/>
    <w:rsid w:val="00896A3E"/>
    <w:rsid w:val="008F0C6B"/>
    <w:rsid w:val="008F23D2"/>
    <w:rsid w:val="0090730A"/>
    <w:rsid w:val="00933508"/>
    <w:rsid w:val="00941697"/>
    <w:rsid w:val="00962212"/>
    <w:rsid w:val="00963B4E"/>
    <w:rsid w:val="00965C48"/>
    <w:rsid w:val="009A6283"/>
    <w:rsid w:val="009C1096"/>
    <w:rsid w:val="00A62100"/>
    <w:rsid w:val="00A82AA7"/>
    <w:rsid w:val="00AA38F5"/>
    <w:rsid w:val="00AA3ADD"/>
    <w:rsid w:val="00AB1581"/>
    <w:rsid w:val="00B17A7C"/>
    <w:rsid w:val="00B67B7E"/>
    <w:rsid w:val="00B81EF5"/>
    <w:rsid w:val="00B90EC8"/>
    <w:rsid w:val="00BB314A"/>
    <w:rsid w:val="00BE76DD"/>
    <w:rsid w:val="00BF28B6"/>
    <w:rsid w:val="00BF57EE"/>
    <w:rsid w:val="00C13466"/>
    <w:rsid w:val="00C339FE"/>
    <w:rsid w:val="00C705E4"/>
    <w:rsid w:val="00C71F19"/>
    <w:rsid w:val="00C96593"/>
    <w:rsid w:val="00CC70B7"/>
    <w:rsid w:val="00CE6D41"/>
    <w:rsid w:val="00CF0B17"/>
    <w:rsid w:val="00D171B1"/>
    <w:rsid w:val="00D208C6"/>
    <w:rsid w:val="00D71FDD"/>
    <w:rsid w:val="00D74911"/>
    <w:rsid w:val="00D94D1B"/>
    <w:rsid w:val="00DA4862"/>
    <w:rsid w:val="00DE469D"/>
    <w:rsid w:val="00DE4F81"/>
    <w:rsid w:val="00DE5468"/>
    <w:rsid w:val="00DF4E73"/>
    <w:rsid w:val="00E12EA1"/>
    <w:rsid w:val="00E1688D"/>
    <w:rsid w:val="00ED7C12"/>
    <w:rsid w:val="00EE4659"/>
    <w:rsid w:val="00EE4C10"/>
    <w:rsid w:val="00F213ED"/>
    <w:rsid w:val="00F401E0"/>
    <w:rsid w:val="00F435CE"/>
    <w:rsid w:val="00F65F12"/>
    <w:rsid w:val="00F802D7"/>
    <w:rsid w:val="00F919B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 w:type="paragraph" w:styleId="Inhaltsverzeichnisberschrift">
    <w:name w:val="TOC Heading"/>
    <w:basedOn w:val="berschrift1"/>
    <w:next w:val="Standard"/>
    <w:uiPriority w:val="39"/>
    <w:unhideWhenUsed/>
    <w:qFormat/>
    <w:rsid w:val="009C1096"/>
    <w:pPr>
      <w:outlineLvl w:val="9"/>
    </w:pPr>
    <w:rPr>
      <w:lang w:eastAsia="de-DE"/>
    </w:rPr>
  </w:style>
  <w:style w:type="paragraph" w:styleId="Verzeichnis2">
    <w:name w:val="toc 2"/>
    <w:basedOn w:val="Standard"/>
    <w:next w:val="Standard"/>
    <w:autoRedefine/>
    <w:uiPriority w:val="39"/>
    <w:unhideWhenUsed/>
    <w:rsid w:val="009C109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109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1096"/>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7F093-50A9-4A89-A1CF-3BD60C52E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1662</Words>
  <Characters>10471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8</cp:revision>
  <dcterms:created xsi:type="dcterms:W3CDTF">2024-04-18T14:29:00Z</dcterms:created>
  <dcterms:modified xsi:type="dcterms:W3CDTF">2024-04-23T08:30:00Z</dcterms:modified>
</cp:coreProperties>
</file>