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André Gagné, Sunny Jagasia, Sithara Jayachandran,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Browser to build for: Chrome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Chrome is more popular, and easier to prototype with, better API</w:t>
      </w:r>
    </w:p>
    <w:p w:rsidR="00000000" w:rsidDel="00000000" w:rsidP="00000000" w:rsidRDefault="00000000" w:rsidRPr="00000000" w14:paraId="0000000E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ind w:left="641" w:hanging="357"/>
        <w:rPr/>
      </w:pPr>
      <w:r w:rsidDel="00000000" w:rsidR="00000000" w:rsidRPr="00000000">
        <w:rPr>
          <w:rtl w:val="0"/>
        </w:rPr>
        <w:t xml:space="preserve">We have five criteria at the moment. We would like to increase this.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We’re gonna start on the extension today.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What does it mean for the extension to be usable? We will discuss interface design</w:t>
      </w:r>
    </w:p>
    <w:p w:rsidR="00000000" w:rsidDel="00000000" w:rsidP="00000000" w:rsidRDefault="00000000" w:rsidRPr="00000000" w14:paraId="00000012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