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t xml:space="preserve">Crypto.com Arena: Vendor Onboarding Insights &amp; Recommendations</w:t>
      </w:r>
    </w:p>
    <w:p>
      <w:pPr>
        <w:spacing w:after="120"/>
      </w:pPr>
      <w:r>
        <w:rPr>
          <w:b/>
          <w:bCs/>
        </w:rPr>
        <w:t xml:space="preserve">Analyst:</w:t>
      </w:r>
      <w:r>
        <w:t xml:space="preserve"> Spoon · </w:t>
      </w:r>
      <w:r>
        <w:rPr>
          <w:b/>
          <w:bCs/>
        </w:rPr>
        <w:t xml:space="preserve">Tools:</w:t>
      </w:r>
      <w:r>
        <w:t xml:space="preserve"> Excel (data cleaning, live formula engine, dashboard), Claude (AI assistant)</w:t>
      </w:r>
    </w:p>
    <w:p>
      <w:pPr>
        <w:spacing w:after="120"/>
      </w:pPr>
      <w:r>
        <w:rPr>
          <w:b/>
          <w:bCs/>
        </w:rPr>
        <w:t xml:space="preserve">Scope:</w:t>
      </w:r>
      <w:r>
        <w:t xml:space="preserve"> 370 vendors · 7 onboarding coordinators · onboarding status snapshot</w:t>
      </w:r>
    </w:p>
    <w:p>
      <w:pPr>
        <w:spacing w:after="120"/>
      </w:pPr>
      <w:r>
        <w:rPr>
          <w:b/>
          <w:bCs/>
        </w:rPr>
        <w:t xml:space="preserve">Context:</w:t>
      </w:r>
      <w:r>
        <w:t xml:space="preserve"> A designed sourcing and procurement scenario. Onboarding the full supplier base that services an arena, from a raw 400-vendor list cleaned to 370.</w:t>
      </w:r>
    </w:p>
    <w:p>
      <w:pPr>
        <w:pBdr>
          <w:bottom w:val="single" w:color="CCCCCC" w:sz="6"/>
        </w:pBdr>
        <w:spacing w:after="120" w:before="80"/>
      </w:pPr>
    </w:p>
    <w:p>
      <w:pPr>
        <w:pStyle w:val="Heading2"/>
        <w:spacing w:after="80" w:before="200"/>
      </w:pPr>
      <w:r>
        <w:t xml:space="preserve">Executive summary</w:t>
      </w:r>
    </w:p>
    <w:p>
      <w:pPr>
        <w:spacing w:after="120"/>
      </w:pPr>
      <w:r>
        <w:t xml:space="preserve">Onboarding is progressing but not yet safe. </w:t>
      </w:r>
      <w:r>
        <w:rPr>
          <w:b/>
          <w:bCs/>
        </w:rPr>
        <w:t xml:space="preserve">38% of the 370 vendors are fully onboarded (140)</w:t>
      </w:r>
      <w:r>
        <w:t xml:space="preserve"> and </w:t>
      </w:r>
      <w:r>
        <w:rPr>
          <w:b/>
          <w:bCs/>
        </w:rPr>
        <w:t xml:space="preserve">74% are on track (273, complete or in progress)</w:t>
      </w:r>
      <w:r>
        <w:t xml:space="preserve">, which is healthy forward momentum. But </w:t>
      </w:r>
      <w:r>
        <w:rPr>
          <w:b/>
          <w:bCs/>
        </w:rPr>
        <w:t xml:space="preserve">97 vendors (26%) are in a red-flag state</w:t>
      </w:r>
      <w:r>
        <w:t xml:space="preserve">, delayed or unresponsive, and they carry </w:t>
      </w:r>
      <w:r>
        <w:rPr>
          <w:b/>
          <w:bCs/>
        </w:rPr>
        <w:t xml:space="preserve">$8,711,400 in annual spend.</w:t>
      </w:r>
    </w:p>
    <w:p>
      <w:pPr>
        <w:spacing w:after="120"/>
      </w:pPr>
      <w:r>
        <w:t xml:space="preserve">The number that should set the agenda is narrower and sharper. Of the </w:t>
      </w:r>
      <w:r>
        <w:rPr>
          <w:b/>
          <w:bCs/>
        </w:rPr>
        <w:t xml:space="preserve">129 critical suppliers</w:t>
      </w:r>
      <w:r>
        <w:t xml:space="preserve">, the services the arena cannot open without, </w:t>
      </w:r>
      <w:r>
        <w:rPr>
          <w:b/>
          <w:bCs/>
        </w:rPr>
        <w:t xml:space="preserve">32 are delayed or unresponsive, and they represent $5,550,000 in essential-services spend that is not yet secured.</w:t>
      </w:r>
      <w:r>
        <w:t xml:space="preserve"> That is the real headline. The question is not "are we behind?" but "are the doors-open services locked down?" Right now, they are not.</w:t>
      </w:r>
    </w:p>
    <w:p>
      <w:pPr>
        <w:spacing w:after="120"/>
      </w:pPr>
      <w:r>
        <w:t xml:space="preserve">The good news: the risk is concentrated and nameable. Two coordinators are carrying the onboarding effort, three specific coordinators hold every poor-communication flag, and the ten highest-dollar at-risk suppliers can be listed on one screen. That makes this a targeting problem, not a scramble.</w:t>
      </w:r>
    </w:p>
    <w:p>
      <w:pPr>
        <w:pBdr>
          <w:bottom w:val="single" w:color="CCCCCC" w:sz="6"/>
        </w:pBdr>
        <w:spacing w:after="120" w:before="80"/>
      </w:pPr>
    </w:p>
    <w:p>
      <w:pPr>
        <w:pStyle w:val="Heading2"/>
        <w:spacing w:after="80" w:before="200"/>
      </w:pPr>
      <w:r>
        <w:t xml:space="preserve">Progress overview: the positive story first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color="auto" w:val="clear"/>
            <w:tcMar>
              <w:top w:type="dxa" w:w="40"/>
              <w:left w:type="dxa" w:w="90"/>
              <w:bottom w:type="dxa" w:w="40"/>
              <w:right w:type="dxa" w:w="90"/>
            </w:tcMar>
          </w:tcPr>
          <w:p>
            <w:r>
              <w:rPr>
                <w:b/>
                <w:bCs/>
                <w:color w:val="FFFFFF"/>
              </w:rPr>
              <w:t xml:space="preserve">Measure</w:t>
            </w:r>
          </w:p>
        </w:tc>
        <w:tc>
          <w:tcPr>
            <w:tcW w:type="dxa" w:w="4680"/>
            <w:shd w:fill="1F3864" w:color="auto" w:val="clear"/>
            <w:tcMar>
              <w:top w:type="dxa" w:w="40"/>
              <w:left w:type="dxa" w:w="90"/>
              <w:bottom w:type="dxa" w:w="40"/>
              <w:right w:type="dxa" w:w="90"/>
            </w:tcMar>
          </w:tcPr>
          <w:p>
            <w:r>
              <w:rPr>
                <w:b/>
                <w:bCs/>
                <w:color w:val="FFFFFF"/>
              </w:rPr>
              <w:t xml:space="preserve">Result</w:t>
            </w:r>
          </w:p>
        </w:tc>
      </w:tr>
      <w:tr>
        <w:trPr>
          <w:tblHeader w:val="false"/>
        </w:trPr>
        <w:tc>
          <w:tcPr>
            <w:tcW w:type="dxa" w:w="4680"/>
            <w:tcMar>
              <w:top w:type="dxa" w:w="40"/>
              <w:left w:type="dxa" w:w="90"/>
              <w:bottom w:type="dxa" w:w="40"/>
              <w:right w:type="dxa" w:w="90"/>
            </w:tcMar>
          </w:tcPr>
          <w:p>
            <w:r>
              <w:t xml:space="preserve">Fully onboarded</w:t>
            </w:r>
          </w:p>
        </w:tc>
        <w:tc>
          <w:tcPr>
            <w:tcW w:type="dxa" w:w="4680"/>
            <w:tcMar>
              <w:top w:type="dxa" w:w="40"/>
              <w:left w:type="dxa" w:w="90"/>
              <w:bottom w:type="dxa" w:w="40"/>
              <w:right w:type="dxa" w:w="90"/>
            </w:tcMar>
          </w:tcPr>
          <w:p>
            <w:r>
              <w:rPr>
                <w:b/>
                <w:bCs/>
              </w:rPr>
              <w:t xml:space="preserve">38%</w:t>
            </w:r>
            <w:r>
              <w:t xml:space="preserve"> (140 of 370)</w:t>
            </w:r>
          </w:p>
        </w:tc>
      </w:tr>
      <w:tr>
        <w:trPr>
          <w:tblHeader w:val="false"/>
        </w:trPr>
        <w:tc>
          <w:tcPr>
            <w:tcW w:type="dxa" w:w="4680"/>
            <w:tcMar>
              <w:top w:type="dxa" w:w="40"/>
              <w:left w:type="dxa" w:w="90"/>
              <w:bottom w:type="dxa" w:w="40"/>
              <w:right w:type="dxa" w:w="90"/>
            </w:tcMar>
          </w:tcPr>
          <w:p>
            <w:r>
              <w:t xml:space="preserve">On track (complete or in progress)</w:t>
            </w:r>
          </w:p>
        </w:tc>
        <w:tc>
          <w:tcPr>
            <w:tcW w:type="dxa" w:w="4680"/>
            <w:tcMar>
              <w:top w:type="dxa" w:w="40"/>
              <w:left w:type="dxa" w:w="90"/>
              <w:bottom w:type="dxa" w:w="40"/>
              <w:right w:type="dxa" w:w="90"/>
            </w:tcMar>
          </w:tcPr>
          <w:p>
            <w:r>
              <w:rPr>
                <w:b/>
                <w:bCs/>
              </w:rPr>
              <w:t xml:space="preserve">74%</w:t>
            </w:r>
            <w:r>
              <w:t xml:space="preserve"> (273 of 370)</w:t>
            </w:r>
          </w:p>
        </w:tc>
      </w:tr>
      <w:tr>
        <w:trPr>
          <w:tblHeader w:val="false"/>
        </w:trPr>
        <w:tc>
          <w:tcPr>
            <w:tcW w:type="dxa" w:w="4680"/>
            <w:tcMar>
              <w:top w:type="dxa" w:w="40"/>
              <w:left w:type="dxa" w:w="90"/>
              <w:bottom w:type="dxa" w:w="40"/>
              <w:right w:type="dxa" w:w="90"/>
            </w:tcMar>
          </w:tcPr>
          <w:p>
            <w:r>
              <w:t xml:space="preserve">Overall completion rate</w:t>
            </w:r>
          </w:p>
        </w:tc>
        <w:tc>
          <w:tcPr>
            <w:tcW w:type="dxa" w:w="4680"/>
            <w:tcMar>
              <w:top w:type="dxa" w:w="40"/>
              <w:left w:type="dxa" w:w="90"/>
              <w:bottom w:type="dxa" w:w="40"/>
              <w:right w:type="dxa" w:w="90"/>
            </w:tcMar>
          </w:tcPr>
          <w:p>
            <w:r>
              <w:t xml:space="preserve">38%</w:t>
            </w:r>
          </w:p>
        </w:tc>
      </w:tr>
    </w:tbl>
    <w:p>
      <w:pPr>
        <w:spacing w:after="120"/>
      </w:pPr>
    </w:p>
    <w:p>
      <w:pPr>
        <w:spacing w:after="120"/>
      </w:pPr>
      <w:r>
        <w:t xml:space="preserve">Three of every four vendors are moving through the pipeline as intended. The onboarding machine works. The question is not whether it functions, but whether it is finishing the right vendors in time.</w:t>
      </w:r>
    </w:p>
    <w:p>
      <w:pPr>
        <w:spacing w:after="120"/>
      </w:pPr>
      <w:r>
        <w:rPr>
          <w:b/>
          <w:bCs/>
        </w:rPr>
        <w:t xml:space="preserve">Status mix across all 370 vendors: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color="auto" w:val="clear"/>
            <w:tcMar>
              <w:top w:type="dxa" w:w="40"/>
              <w:left w:type="dxa" w:w="90"/>
              <w:bottom w:type="dxa" w:w="40"/>
              <w:right w:type="dxa" w:w="90"/>
            </w:tcMar>
          </w:tcPr>
          <w:p>
            <w:r>
              <w:rPr>
                <w:b/>
                <w:bCs/>
                <w:color w:val="FFFFFF"/>
              </w:rPr>
              <w:t xml:space="preserve">Status</w:t>
            </w:r>
          </w:p>
        </w:tc>
        <w:tc>
          <w:tcPr>
            <w:tcW w:type="dxa" w:w="3120"/>
            <w:shd w:fill="1F3864" w:color="auto" w:val="clear"/>
            <w:tcMar>
              <w:top w:type="dxa" w:w="40"/>
              <w:left w:type="dxa" w:w="90"/>
              <w:bottom w:type="dxa" w:w="40"/>
              <w:right w:type="dxa" w:w="90"/>
            </w:tcMar>
          </w:tcPr>
          <w:p>
            <w:r>
              <w:rPr>
                <w:b/>
                <w:bCs/>
                <w:color w:val="FFFFFF"/>
              </w:rPr>
              <w:t xml:space="preserve">Vendors</w:t>
            </w:r>
          </w:p>
        </w:tc>
        <w:tc>
          <w:tcPr>
            <w:tcW w:type="dxa" w:w="3120"/>
            <w:shd w:fill="1F3864" w:color="auto" w:val="clear"/>
            <w:tcMar>
              <w:top w:type="dxa" w:w="40"/>
              <w:left w:type="dxa" w:w="90"/>
              <w:bottom w:type="dxa" w:w="40"/>
              <w:right w:type="dxa" w:w="90"/>
            </w:tcMar>
          </w:tcPr>
          <w:p>
            <w:r>
              <w:rPr>
                <w:b/>
                <w:bCs/>
                <w:color w:val="FFFFFF"/>
              </w:rPr>
              <w:t xml:space="preserve">Share</w:t>
            </w:r>
          </w:p>
        </w:tc>
      </w:tr>
      <w:tr>
        <w:trPr>
          <w:tblHeader w:val="false"/>
        </w:trPr>
        <w:tc>
          <w:tcPr>
            <w:tcW w:type="dxa" w:w="3120"/>
            <w:tcMar>
              <w:top w:type="dxa" w:w="40"/>
              <w:left w:type="dxa" w:w="90"/>
              <w:bottom w:type="dxa" w:w="40"/>
              <w:right w:type="dxa" w:w="90"/>
            </w:tcMar>
          </w:tcPr>
          <w:p>
            <w:r>
              <w:t xml:space="preserve">Complete</w:t>
            </w:r>
          </w:p>
        </w:tc>
        <w:tc>
          <w:tcPr>
            <w:tcW w:type="dxa" w:w="3120"/>
            <w:tcMar>
              <w:top w:type="dxa" w:w="40"/>
              <w:left w:type="dxa" w:w="90"/>
              <w:bottom w:type="dxa" w:w="40"/>
              <w:right w:type="dxa" w:w="90"/>
            </w:tcMar>
          </w:tcPr>
          <w:p>
            <w:r>
              <w:t xml:space="preserve">140</w:t>
            </w:r>
          </w:p>
        </w:tc>
        <w:tc>
          <w:tcPr>
            <w:tcW w:type="dxa" w:w="3120"/>
            <w:tcMar>
              <w:top w:type="dxa" w:w="40"/>
              <w:left w:type="dxa" w:w="90"/>
              <w:bottom w:type="dxa" w:w="40"/>
              <w:right w:type="dxa" w:w="90"/>
            </w:tcMar>
          </w:tcPr>
          <w:p>
            <w:r>
              <w:t xml:space="preserve">38%</w:t>
            </w:r>
          </w:p>
        </w:tc>
      </w:tr>
      <w:tr>
        <w:trPr>
          <w:tblHeader w:val="false"/>
        </w:trPr>
        <w:tc>
          <w:tcPr>
            <w:tcW w:type="dxa" w:w="3120"/>
            <w:tcMar>
              <w:top w:type="dxa" w:w="40"/>
              <w:left w:type="dxa" w:w="90"/>
              <w:bottom w:type="dxa" w:w="40"/>
              <w:right w:type="dxa" w:w="90"/>
            </w:tcMar>
          </w:tcPr>
          <w:p>
            <w:r>
              <w:t xml:space="preserve">Received (in progress)</w:t>
            </w:r>
          </w:p>
        </w:tc>
        <w:tc>
          <w:tcPr>
            <w:tcW w:type="dxa" w:w="3120"/>
            <w:tcMar>
              <w:top w:type="dxa" w:w="40"/>
              <w:left w:type="dxa" w:w="90"/>
              <w:bottom w:type="dxa" w:w="40"/>
              <w:right w:type="dxa" w:w="90"/>
            </w:tcMar>
          </w:tcPr>
          <w:p>
            <w:r>
              <w:t xml:space="preserve">133</w:t>
            </w:r>
          </w:p>
        </w:tc>
        <w:tc>
          <w:tcPr>
            <w:tcW w:type="dxa" w:w="3120"/>
            <w:tcMar>
              <w:top w:type="dxa" w:w="40"/>
              <w:left w:type="dxa" w:w="90"/>
              <w:bottom w:type="dxa" w:w="40"/>
              <w:right w:type="dxa" w:w="90"/>
            </w:tcMar>
          </w:tcPr>
          <w:p>
            <w:r>
              <w:t xml:space="preserve">36%</w:t>
            </w:r>
          </w:p>
        </w:tc>
      </w:tr>
      <w:tr>
        <w:trPr>
          <w:tblHeader w:val="false"/>
        </w:trPr>
        <w:tc>
          <w:tcPr>
            <w:tcW w:type="dxa" w:w="3120"/>
            <w:tcMar>
              <w:top w:type="dxa" w:w="40"/>
              <w:left w:type="dxa" w:w="90"/>
              <w:bottom w:type="dxa" w:w="40"/>
              <w:right w:type="dxa" w:w="90"/>
            </w:tcMar>
          </w:tcPr>
          <w:p>
            <w:r>
              <w:t xml:space="preserve">Delayed</w:t>
            </w:r>
          </w:p>
        </w:tc>
        <w:tc>
          <w:tcPr>
            <w:tcW w:type="dxa" w:w="3120"/>
            <w:tcMar>
              <w:top w:type="dxa" w:w="40"/>
              <w:left w:type="dxa" w:w="90"/>
              <w:bottom w:type="dxa" w:w="40"/>
              <w:right w:type="dxa" w:w="90"/>
            </w:tcMar>
          </w:tcPr>
          <w:p>
            <w:r>
              <w:t xml:space="preserve">62</w:t>
            </w:r>
          </w:p>
        </w:tc>
        <w:tc>
          <w:tcPr>
            <w:tcW w:type="dxa" w:w="3120"/>
            <w:tcMar>
              <w:top w:type="dxa" w:w="40"/>
              <w:left w:type="dxa" w:w="90"/>
              <w:bottom w:type="dxa" w:w="40"/>
              <w:right w:type="dxa" w:w="90"/>
            </w:tcMar>
          </w:tcPr>
          <w:p>
            <w:r>
              <w:t xml:space="preserve">17%</w:t>
            </w:r>
          </w:p>
        </w:tc>
      </w:tr>
      <w:tr>
        <w:trPr>
          <w:tblHeader w:val="false"/>
        </w:trPr>
        <w:tc>
          <w:tcPr>
            <w:tcW w:type="dxa" w:w="3120"/>
            <w:tcMar>
              <w:top w:type="dxa" w:w="40"/>
              <w:left w:type="dxa" w:w="90"/>
              <w:bottom w:type="dxa" w:w="40"/>
              <w:right w:type="dxa" w:w="90"/>
            </w:tcMar>
          </w:tcPr>
          <w:p>
            <w:r>
              <w:t xml:space="preserve">Delayed (EOD)</w:t>
            </w:r>
          </w:p>
        </w:tc>
        <w:tc>
          <w:tcPr>
            <w:tcW w:type="dxa" w:w="3120"/>
            <w:tcMar>
              <w:top w:type="dxa" w:w="40"/>
              <w:left w:type="dxa" w:w="90"/>
              <w:bottom w:type="dxa" w:w="40"/>
              <w:right w:type="dxa" w:w="90"/>
            </w:tcMar>
          </w:tcPr>
          <w:p>
            <w:r>
              <w:t xml:space="preserve">12</w:t>
            </w:r>
          </w:p>
        </w:tc>
        <w:tc>
          <w:tcPr>
            <w:tcW w:type="dxa" w:w="3120"/>
            <w:tcMar>
              <w:top w:type="dxa" w:w="40"/>
              <w:left w:type="dxa" w:w="90"/>
              <w:bottom w:type="dxa" w:w="40"/>
              <w:right w:type="dxa" w:w="90"/>
            </w:tcMar>
          </w:tcPr>
          <w:p>
            <w:r>
              <w:t xml:space="preserve">3%</w:t>
            </w:r>
          </w:p>
        </w:tc>
      </w:tr>
      <w:tr>
        <w:trPr>
          <w:tblHeader w:val="false"/>
        </w:trPr>
        <w:tc>
          <w:tcPr>
            <w:tcW w:type="dxa" w:w="3120"/>
            <w:tcMar>
              <w:top w:type="dxa" w:w="40"/>
              <w:left w:type="dxa" w:w="90"/>
              <w:bottom w:type="dxa" w:w="40"/>
              <w:right w:type="dxa" w:w="90"/>
            </w:tcMar>
          </w:tcPr>
          <w:p>
            <w:r>
              <w:t xml:space="preserve">Poor Communication</w:t>
            </w:r>
          </w:p>
        </w:tc>
        <w:tc>
          <w:tcPr>
            <w:tcW w:type="dxa" w:w="3120"/>
            <w:tcMar>
              <w:top w:type="dxa" w:w="40"/>
              <w:left w:type="dxa" w:w="90"/>
              <w:bottom w:type="dxa" w:w="40"/>
              <w:right w:type="dxa" w:w="90"/>
            </w:tcMar>
          </w:tcPr>
          <w:p>
            <w:r>
              <w:t xml:space="preserve">23</w:t>
            </w:r>
          </w:p>
        </w:tc>
        <w:tc>
          <w:tcPr>
            <w:tcW w:type="dxa" w:w="3120"/>
            <w:tcMar>
              <w:top w:type="dxa" w:w="40"/>
              <w:left w:type="dxa" w:w="90"/>
              <w:bottom w:type="dxa" w:w="40"/>
              <w:right w:type="dxa" w:w="90"/>
            </w:tcMar>
          </w:tcPr>
          <w:p>
            <w:r>
              <w:t xml:space="preserve">6%</w:t>
            </w:r>
          </w:p>
        </w:tc>
      </w:tr>
    </w:tbl>
    <w:p>
      <w:pPr>
        <w:spacing w:after="120"/>
      </w:pPr>
    </w:p>
    <w:p>
      <w:pPr>
        <w:pBdr>
          <w:bottom w:val="single" w:color="CCCCCC" w:sz="6"/>
        </w:pBdr>
        <w:spacing w:after="120" w:before="80"/>
      </w:pPr>
    </w:p>
    <w:p>
      <w:pPr>
        <w:pStyle w:val="Heading2"/>
        <w:spacing w:after="80" w:before="200"/>
      </w:pPr>
      <w:r>
        <w:t xml:space="preserve">The risk view: where the exposure actually sits</w:t>
      </w:r>
    </w:p>
    <w:p>
      <w:pPr>
        <w:spacing w:after="120"/>
      </w:pPr>
      <w:r>
        <w:t xml:space="preserve">Completion percentage alone is a comfort metric. The number that matters for an arena is critical-supplier readiness, because a delayed napkin vendor and a delayed fire-and-life-safety vendor are not the same risk.</w:t>
      </w:r>
    </w:p>
    <w:p>
      <w:pPr>
        <w:spacing w:after="120"/>
      </w:pPr>
      <w:r>
        <w:rPr>
          <w:b/>
          <w:bCs/>
        </w:rPr>
        <w:t xml:space="preserve">Critical supplier focus, 129 critical suppliers: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864" w:color="auto" w:val="clear"/>
            <w:tcMar>
              <w:top w:type="dxa" w:w="40"/>
              <w:left w:type="dxa" w:w="90"/>
              <w:bottom w:type="dxa" w:w="40"/>
              <w:right w:type="dxa" w:w="90"/>
            </w:tcMar>
          </w:tcPr>
          <w:p>
            <w:r>
              <w:rPr>
                <w:b/>
                <w:bCs/>
                <w:color w:val="FFFFFF"/>
              </w:rPr>
              <w:t xml:space="preserve">Status</w:t>
            </w:r>
          </w:p>
        </w:tc>
        <w:tc>
          <w:tcPr>
            <w:tcW w:type="dxa" w:w="3120"/>
            <w:shd w:fill="1F3864" w:color="auto" w:val="clear"/>
            <w:tcMar>
              <w:top w:type="dxa" w:w="40"/>
              <w:left w:type="dxa" w:w="90"/>
              <w:bottom w:type="dxa" w:w="40"/>
              <w:right w:type="dxa" w:w="90"/>
            </w:tcMar>
          </w:tcPr>
          <w:p>
            <w:r>
              <w:rPr>
                <w:b/>
                <w:bCs/>
                <w:color w:val="FFFFFF"/>
              </w:rPr>
              <w:t xml:space="preserve">Critical suppliers</w:t>
            </w:r>
          </w:p>
        </w:tc>
        <w:tc>
          <w:tcPr>
            <w:tcW w:type="dxa" w:w="3120"/>
            <w:shd w:fill="1F3864" w:color="auto" w:val="clear"/>
            <w:tcMar>
              <w:top w:type="dxa" w:w="40"/>
              <w:left w:type="dxa" w:w="90"/>
              <w:bottom w:type="dxa" w:w="40"/>
              <w:right w:type="dxa" w:w="90"/>
            </w:tcMar>
          </w:tcPr>
          <w:p>
            <w:r>
              <w:rPr>
                <w:b/>
                <w:bCs/>
                <w:color w:val="FFFFFF"/>
              </w:rPr>
              <w:t xml:space="preserve">Share</w:t>
            </w:r>
          </w:p>
        </w:tc>
      </w:tr>
      <w:tr>
        <w:trPr>
          <w:tblHeader w:val="false"/>
        </w:trPr>
        <w:tc>
          <w:tcPr>
            <w:tcW w:type="dxa" w:w="3120"/>
            <w:tcMar>
              <w:top w:type="dxa" w:w="40"/>
              <w:left w:type="dxa" w:w="90"/>
              <w:bottom w:type="dxa" w:w="40"/>
              <w:right w:type="dxa" w:w="90"/>
            </w:tcMar>
          </w:tcPr>
          <w:p>
            <w:r>
              <w:t xml:space="preserve">Complete</w:t>
            </w:r>
          </w:p>
        </w:tc>
        <w:tc>
          <w:tcPr>
            <w:tcW w:type="dxa" w:w="3120"/>
            <w:tcMar>
              <w:top w:type="dxa" w:w="40"/>
              <w:left w:type="dxa" w:w="90"/>
              <w:bottom w:type="dxa" w:w="40"/>
              <w:right w:type="dxa" w:w="90"/>
            </w:tcMar>
          </w:tcPr>
          <w:p>
            <w:r>
              <w:t xml:space="preserve">64</w:t>
            </w:r>
          </w:p>
        </w:tc>
        <w:tc>
          <w:tcPr>
            <w:tcW w:type="dxa" w:w="3120"/>
            <w:tcMar>
              <w:top w:type="dxa" w:w="40"/>
              <w:left w:type="dxa" w:w="90"/>
              <w:bottom w:type="dxa" w:w="40"/>
              <w:right w:type="dxa" w:w="90"/>
            </w:tcMar>
          </w:tcPr>
          <w:p>
            <w:r>
              <w:t xml:space="preserve">50%</w:t>
            </w:r>
          </w:p>
        </w:tc>
      </w:tr>
      <w:tr>
        <w:trPr>
          <w:tblHeader w:val="false"/>
        </w:trPr>
        <w:tc>
          <w:tcPr>
            <w:tcW w:type="dxa" w:w="3120"/>
            <w:tcMar>
              <w:top w:type="dxa" w:w="40"/>
              <w:left w:type="dxa" w:w="90"/>
              <w:bottom w:type="dxa" w:w="40"/>
              <w:right w:type="dxa" w:w="90"/>
            </w:tcMar>
          </w:tcPr>
          <w:p>
            <w:r>
              <w:t xml:space="preserve">Received</w:t>
            </w:r>
          </w:p>
        </w:tc>
        <w:tc>
          <w:tcPr>
            <w:tcW w:type="dxa" w:w="3120"/>
            <w:tcMar>
              <w:top w:type="dxa" w:w="40"/>
              <w:left w:type="dxa" w:w="90"/>
              <w:bottom w:type="dxa" w:w="40"/>
              <w:right w:type="dxa" w:w="90"/>
            </w:tcMar>
          </w:tcPr>
          <w:p>
            <w:r>
              <w:t xml:space="preserve">33</w:t>
            </w:r>
          </w:p>
        </w:tc>
        <w:tc>
          <w:tcPr>
            <w:tcW w:type="dxa" w:w="3120"/>
            <w:tcMar>
              <w:top w:type="dxa" w:w="40"/>
              <w:left w:type="dxa" w:w="90"/>
              <w:bottom w:type="dxa" w:w="40"/>
              <w:right w:type="dxa" w:w="90"/>
            </w:tcMar>
          </w:tcPr>
          <w:p>
            <w:r>
              <w:t xml:space="preserve">26%</w:t>
            </w:r>
          </w:p>
        </w:tc>
      </w:tr>
      <w:tr>
        <w:trPr>
          <w:tblHeader w:val="false"/>
        </w:trPr>
        <w:tc>
          <w:tcPr>
            <w:tcW w:type="dxa" w:w="3120"/>
            <w:tcMar>
              <w:top w:type="dxa" w:w="40"/>
              <w:left w:type="dxa" w:w="90"/>
              <w:bottom w:type="dxa" w:w="40"/>
              <w:right w:type="dxa" w:w="90"/>
            </w:tcMar>
          </w:tcPr>
          <w:p>
            <w:r>
              <w:t xml:space="preserve">Delayed</w:t>
            </w:r>
          </w:p>
        </w:tc>
        <w:tc>
          <w:tcPr>
            <w:tcW w:type="dxa" w:w="3120"/>
            <w:tcMar>
              <w:top w:type="dxa" w:w="40"/>
              <w:left w:type="dxa" w:w="90"/>
              <w:bottom w:type="dxa" w:w="40"/>
              <w:right w:type="dxa" w:w="90"/>
            </w:tcMar>
          </w:tcPr>
          <w:p>
            <w:r>
              <w:t xml:space="preserve">26</w:t>
            </w:r>
          </w:p>
        </w:tc>
        <w:tc>
          <w:tcPr>
            <w:tcW w:type="dxa" w:w="3120"/>
            <w:tcMar>
              <w:top w:type="dxa" w:w="40"/>
              <w:left w:type="dxa" w:w="90"/>
              <w:bottom w:type="dxa" w:w="40"/>
              <w:right w:type="dxa" w:w="90"/>
            </w:tcMar>
          </w:tcPr>
          <w:p>
            <w:r>
              <w:t xml:space="preserve">20%</w:t>
            </w:r>
          </w:p>
        </w:tc>
      </w:tr>
      <w:tr>
        <w:trPr>
          <w:tblHeader w:val="false"/>
        </w:trPr>
        <w:tc>
          <w:tcPr>
            <w:tcW w:type="dxa" w:w="3120"/>
            <w:tcMar>
              <w:top w:type="dxa" w:w="40"/>
              <w:left w:type="dxa" w:w="90"/>
              <w:bottom w:type="dxa" w:w="40"/>
              <w:right w:type="dxa" w:w="90"/>
            </w:tcMar>
          </w:tcPr>
          <w:p>
            <w:r>
              <w:t xml:space="preserve">Delayed (EOD)</w:t>
            </w:r>
          </w:p>
        </w:tc>
        <w:tc>
          <w:tcPr>
            <w:tcW w:type="dxa" w:w="3120"/>
            <w:tcMar>
              <w:top w:type="dxa" w:w="40"/>
              <w:left w:type="dxa" w:w="90"/>
              <w:bottom w:type="dxa" w:w="40"/>
              <w:right w:type="dxa" w:w="90"/>
            </w:tcMar>
          </w:tcPr>
          <w:p>
            <w:r>
              <w:t xml:space="preserve">2</w:t>
            </w:r>
          </w:p>
        </w:tc>
        <w:tc>
          <w:tcPr>
            <w:tcW w:type="dxa" w:w="3120"/>
            <w:tcMar>
              <w:top w:type="dxa" w:w="40"/>
              <w:left w:type="dxa" w:w="90"/>
              <w:bottom w:type="dxa" w:w="40"/>
              <w:right w:type="dxa" w:w="90"/>
            </w:tcMar>
          </w:tcPr>
          <w:p>
            <w:r>
              <w:t xml:space="preserve">2%</w:t>
            </w:r>
          </w:p>
        </w:tc>
      </w:tr>
      <w:tr>
        <w:trPr>
          <w:tblHeader w:val="false"/>
        </w:trPr>
        <w:tc>
          <w:tcPr>
            <w:tcW w:type="dxa" w:w="3120"/>
            <w:tcMar>
              <w:top w:type="dxa" w:w="40"/>
              <w:left w:type="dxa" w:w="90"/>
              <w:bottom w:type="dxa" w:w="40"/>
              <w:right w:type="dxa" w:w="90"/>
            </w:tcMar>
          </w:tcPr>
          <w:p>
            <w:r>
              <w:t xml:space="preserve">Poor Communication</w:t>
            </w:r>
          </w:p>
        </w:tc>
        <w:tc>
          <w:tcPr>
            <w:tcW w:type="dxa" w:w="3120"/>
            <w:tcMar>
              <w:top w:type="dxa" w:w="40"/>
              <w:left w:type="dxa" w:w="90"/>
              <w:bottom w:type="dxa" w:w="40"/>
              <w:right w:type="dxa" w:w="90"/>
            </w:tcMar>
          </w:tcPr>
          <w:p>
            <w:r>
              <w:t xml:space="preserve">4</w:t>
            </w:r>
          </w:p>
        </w:tc>
        <w:tc>
          <w:tcPr>
            <w:tcW w:type="dxa" w:w="3120"/>
            <w:tcMar>
              <w:top w:type="dxa" w:w="40"/>
              <w:left w:type="dxa" w:w="90"/>
              <w:bottom w:type="dxa" w:w="40"/>
              <w:right w:type="dxa" w:w="90"/>
            </w:tcMar>
          </w:tcPr>
          <w:p>
            <w:r>
              <w:t xml:space="preserve">3%</w:t>
            </w:r>
          </w:p>
        </w:tc>
      </w:tr>
    </w:tbl>
    <w:p>
      <w:pPr>
        <w:spacing w:after="120"/>
      </w:pPr>
    </w:p>
    <w:p>
      <w:pPr>
        <w:spacing w:after="120"/>
      </w:pPr>
      <w:r>
        <w:t xml:space="preserve">Half of critical suppliers are secured, but </w:t>
      </w:r>
      <w:r>
        <w:rPr>
          <w:b/>
          <w:bCs/>
        </w:rPr>
        <w:t xml:space="preserve">32 (25%) are delayed or unresponsive</w:t>
      </w:r>
      <w:r>
        <w:t xml:space="preserve">, and those 32 carry </w:t>
      </w:r>
      <w:r>
        <w:rPr>
          <w:b/>
          <w:bCs/>
        </w:rPr>
        <w:t xml:space="preserve">$5.55M in annual spend across the exact categories an arena cannot open without: HVAC, electrical, security, fire and life safety, and elevators.</w:t>
      </w:r>
      <w:r>
        <w:t xml:space="preserve"> This is the single most important slice of the entire dataset.</w:t>
      </w:r>
    </w:p>
    <w:p>
      <w:pPr>
        <w:spacing w:after="120"/>
      </w:pPr>
      <w:r>
        <w:rPr>
          <w:b/>
          <w:bCs/>
        </w:rPr>
        <w:t xml:space="preserve">Top critical suppliers at risk (highest-spend essential services not yet secured):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3864" w:color="auto" w:val="clear"/>
            <w:tcMar>
              <w:top w:type="dxa" w:w="40"/>
              <w:left w:type="dxa" w:w="90"/>
              <w:bottom w:type="dxa" w:w="40"/>
              <w:right w:type="dxa" w:w="90"/>
            </w:tcMar>
          </w:tcPr>
          <w:p>
            <w:r>
              <w:rPr>
                <w:b/>
                <w:bCs/>
                <w:color w:val="FFFFFF"/>
              </w:rPr>
              <w:t xml:space="preserve">Supplier</w:t>
            </w:r>
          </w:p>
        </w:tc>
        <w:tc>
          <w:tcPr>
            <w:tcW w:type="dxa" w:w="2340"/>
            <w:shd w:fill="1F3864" w:color="auto" w:val="clear"/>
            <w:tcMar>
              <w:top w:type="dxa" w:w="40"/>
              <w:left w:type="dxa" w:w="90"/>
              <w:bottom w:type="dxa" w:w="40"/>
              <w:right w:type="dxa" w:w="90"/>
            </w:tcMar>
          </w:tcPr>
          <w:p>
            <w:r>
              <w:rPr>
                <w:b/>
                <w:bCs/>
                <w:color w:val="FFFFFF"/>
              </w:rPr>
              <w:t xml:space="preserve">Coordinator</w:t>
            </w:r>
          </w:p>
        </w:tc>
        <w:tc>
          <w:tcPr>
            <w:tcW w:type="dxa" w:w="2340"/>
            <w:shd w:fill="1F3864" w:color="auto" w:val="clear"/>
            <w:tcMar>
              <w:top w:type="dxa" w:w="40"/>
              <w:left w:type="dxa" w:w="90"/>
              <w:bottom w:type="dxa" w:w="40"/>
              <w:right w:type="dxa" w:w="90"/>
            </w:tcMar>
          </w:tcPr>
          <w:p>
            <w:r>
              <w:rPr>
                <w:b/>
                <w:bCs/>
                <w:color w:val="FFFFFF"/>
              </w:rPr>
              <w:t xml:space="preserve">Status</w:t>
            </w:r>
          </w:p>
        </w:tc>
        <w:tc>
          <w:tcPr>
            <w:tcW w:type="dxa" w:w="2340"/>
            <w:shd w:fill="1F3864" w:color="auto" w:val="clear"/>
            <w:tcMar>
              <w:top w:type="dxa" w:w="40"/>
              <w:left w:type="dxa" w:w="90"/>
              <w:bottom w:type="dxa" w:w="40"/>
              <w:right w:type="dxa" w:w="90"/>
            </w:tcMar>
          </w:tcPr>
          <w:p>
            <w:r>
              <w:rPr>
                <w:b/>
                <w:bCs/>
                <w:color w:val="FFFFFF"/>
              </w:rPr>
              <w:t xml:space="preserve">Annual $</w:t>
            </w:r>
          </w:p>
        </w:tc>
      </w:tr>
      <w:tr>
        <w:trPr>
          <w:tblHeader w:val="false"/>
        </w:trPr>
        <w:tc>
          <w:tcPr>
            <w:tcW w:type="dxa" w:w="2340"/>
            <w:tcMar>
              <w:top w:type="dxa" w:w="40"/>
              <w:left w:type="dxa" w:w="90"/>
              <w:bottom w:type="dxa" w:w="40"/>
              <w:right w:type="dxa" w:w="90"/>
            </w:tcMar>
          </w:tcPr>
          <w:p>
            <w:r>
              <w:t xml:space="preserve">Monarch Mechanical Partners</w:t>
            </w:r>
          </w:p>
        </w:tc>
        <w:tc>
          <w:tcPr>
            <w:tcW w:type="dxa" w:w="2340"/>
            <w:tcMar>
              <w:top w:type="dxa" w:w="40"/>
              <w:left w:type="dxa" w:w="90"/>
              <w:bottom w:type="dxa" w:w="40"/>
              <w:right w:type="dxa" w:w="90"/>
            </w:tcMar>
          </w:tcPr>
          <w:p>
            <w:r>
              <w:t xml:space="preserve">Marisol Reyes</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$434,200</w:t>
            </w:r>
          </w:p>
        </w:tc>
      </w:tr>
      <w:tr>
        <w:trPr>
          <w:tblHeader w:val="false"/>
        </w:trPr>
        <w:tc>
          <w:tcPr>
            <w:tcW w:type="dxa" w:w="2340"/>
            <w:tcMar>
              <w:top w:type="dxa" w:w="40"/>
              <w:left w:type="dxa" w:w="90"/>
              <w:bottom w:type="dxa" w:w="40"/>
              <w:right w:type="dxa" w:w="90"/>
            </w:tcMar>
          </w:tcPr>
          <w:p>
            <w:r>
              <w:t xml:space="preserve">Precision Electrical Co.</w:t>
            </w:r>
          </w:p>
        </w:tc>
        <w:tc>
          <w:tcPr>
            <w:tcW w:type="dxa" w:w="2340"/>
            <w:tcMar>
              <w:top w:type="dxa" w:w="40"/>
              <w:left w:type="dxa" w:w="90"/>
              <w:bottom w:type="dxa" w:w="40"/>
              <w:right w:type="dxa" w:w="90"/>
            </w:tcMar>
          </w:tcPr>
          <w:p>
            <w:r>
              <w:t xml:space="preserve">Trevor Nguyen</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$408,600</w:t>
            </w:r>
          </w:p>
        </w:tc>
      </w:tr>
      <w:tr>
        <w:trPr>
          <w:tblHeader w:val="false"/>
        </w:trPr>
        <w:tc>
          <w:tcPr>
            <w:tcW w:type="dxa" w:w="2340"/>
            <w:tcMar>
              <w:top w:type="dxa" w:w="40"/>
              <w:left w:type="dxa" w:w="90"/>
              <w:bottom w:type="dxa" w:w="40"/>
              <w:right w:type="dxa" w:w="90"/>
            </w:tcMar>
          </w:tcPr>
          <w:p>
            <w:r>
              <w:t xml:space="preserve">Allied Guard Services Inc.</w:t>
            </w:r>
          </w:p>
        </w:tc>
        <w:tc>
          <w:tcPr>
            <w:tcW w:type="dxa" w:w="2340"/>
            <w:tcMar>
              <w:top w:type="dxa" w:w="40"/>
              <w:left w:type="dxa" w:w="90"/>
              <w:bottom w:type="dxa" w:w="40"/>
              <w:right w:type="dxa" w:w="90"/>
            </w:tcMar>
          </w:tcPr>
          <w:p>
            <w:r>
              <w:t xml:space="preserve">Damon Fields</w:t>
            </w:r>
          </w:p>
        </w:tc>
        <w:tc>
          <w:tcPr>
            <w:tcW w:type="dxa" w:w="2340"/>
            <w:tcMar>
              <w:top w:type="dxa" w:w="40"/>
              <w:left w:type="dxa" w:w="90"/>
              <w:bottom w:type="dxa" w:w="40"/>
              <w:right w:type="dxa" w:w="90"/>
            </w:tcMar>
          </w:tcPr>
          <w:p>
            <w:r>
              <w:t xml:space="preserve">Delayed (EOD)</w:t>
            </w:r>
          </w:p>
        </w:tc>
        <w:tc>
          <w:tcPr>
            <w:tcW w:type="dxa" w:w="2340"/>
            <w:tcMar>
              <w:top w:type="dxa" w:w="40"/>
              <w:left w:type="dxa" w:w="90"/>
              <w:bottom w:type="dxa" w:w="40"/>
              <w:right w:type="dxa" w:w="90"/>
            </w:tcMar>
          </w:tcPr>
          <w:p>
            <w:r>
              <w:t xml:space="preserve">$313,400</w:t>
            </w:r>
          </w:p>
        </w:tc>
      </w:tr>
      <w:tr>
        <w:trPr>
          <w:tblHeader w:val="false"/>
        </w:trPr>
        <w:tc>
          <w:tcPr>
            <w:tcW w:type="dxa" w:w="2340"/>
            <w:tcMar>
              <w:top w:type="dxa" w:w="40"/>
              <w:left w:type="dxa" w:w="90"/>
              <w:bottom w:type="dxa" w:w="40"/>
              <w:right w:type="dxa" w:w="90"/>
            </w:tcMar>
          </w:tcPr>
          <w:p>
            <w:r>
              <w:t xml:space="preserve">SoCal Fire Protection Services</w:t>
            </w:r>
          </w:p>
        </w:tc>
        <w:tc>
          <w:tcPr>
            <w:tcW w:type="dxa" w:w="2340"/>
            <w:tcMar>
              <w:top w:type="dxa" w:w="40"/>
              <w:left w:type="dxa" w:w="90"/>
              <w:bottom w:type="dxa" w:w="40"/>
              <w:right w:type="dxa" w:w="90"/>
            </w:tcMar>
          </w:tcPr>
          <w:p>
            <w:r>
              <w:t xml:space="preserve">Andre Boseman</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$286,000</w:t>
            </w:r>
          </w:p>
        </w:tc>
      </w:tr>
      <w:tr>
        <w:trPr>
          <w:tblHeader w:val="false"/>
        </w:trPr>
        <w:tc>
          <w:tcPr>
            <w:tcW w:type="dxa" w:w="2340"/>
            <w:tcMar>
              <w:top w:type="dxa" w:w="40"/>
              <w:left w:type="dxa" w:w="90"/>
              <w:bottom w:type="dxa" w:w="40"/>
              <w:right w:type="dxa" w:w="90"/>
            </w:tcMar>
          </w:tcPr>
          <w:p>
            <w:r>
              <w:t xml:space="preserve">Coastal Climate Control</w:t>
            </w:r>
          </w:p>
        </w:tc>
        <w:tc>
          <w:tcPr>
            <w:tcW w:type="dxa" w:w="2340"/>
            <w:tcMar>
              <w:top w:type="dxa" w:w="40"/>
              <w:left w:type="dxa" w:w="90"/>
              <w:bottom w:type="dxa" w:w="40"/>
              <w:right w:type="dxa" w:w="90"/>
            </w:tcMar>
          </w:tcPr>
          <w:p>
            <w:r>
              <w:t xml:space="preserve">Marisol Reyes</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$283,800</w:t>
            </w:r>
          </w:p>
        </w:tc>
      </w:tr>
      <w:tr>
        <w:trPr>
          <w:tblHeader w:val="false"/>
        </w:trPr>
        <w:tc>
          <w:tcPr>
            <w:tcW w:type="dxa" w:w="2340"/>
            <w:tcMar>
              <w:top w:type="dxa" w:w="40"/>
              <w:left w:type="dxa" w:w="90"/>
              <w:bottom w:type="dxa" w:w="40"/>
              <w:right w:type="dxa" w:w="90"/>
            </w:tcMar>
          </w:tcPr>
          <w:p>
            <w:r>
              <w:t xml:space="preserve">Guardian Fire Protection Solutions</w:t>
            </w:r>
          </w:p>
        </w:tc>
        <w:tc>
          <w:tcPr>
            <w:tcW w:type="dxa" w:w="2340"/>
            <w:tcMar>
              <w:top w:type="dxa" w:w="40"/>
              <w:left w:type="dxa" w:w="90"/>
              <w:bottom w:type="dxa" w:w="40"/>
              <w:right w:type="dxa" w:w="90"/>
            </w:tcMar>
          </w:tcPr>
          <w:p>
            <w:r>
              <w:t xml:space="preserve">Marisol Reyes</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$279,000</w:t>
            </w:r>
          </w:p>
        </w:tc>
      </w:tr>
      <w:tr>
        <w:trPr>
          <w:tblHeader w:val="false"/>
        </w:trPr>
        <w:tc>
          <w:tcPr>
            <w:tcW w:type="dxa" w:w="2340"/>
            <w:tcMar>
              <w:top w:type="dxa" w:w="40"/>
              <w:left w:type="dxa" w:w="90"/>
              <w:bottom w:type="dxa" w:w="40"/>
              <w:right w:type="dxa" w:w="90"/>
            </w:tcMar>
          </w:tcPr>
          <w:p>
            <w:r>
              <w:t xml:space="preserve">Union Security Contractors</w:t>
            </w:r>
          </w:p>
        </w:tc>
        <w:tc>
          <w:tcPr>
            <w:tcW w:type="dxa" w:w="2340"/>
            <w:tcMar>
              <w:top w:type="dxa" w:w="40"/>
              <w:left w:type="dxa" w:w="90"/>
              <w:bottom w:type="dxa" w:w="40"/>
              <w:right w:type="dxa" w:w="90"/>
            </w:tcMar>
          </w:tcPr>
          <w:p>
            <w:r>
              <w:t xml:space="preserve">Priya Kapoor</w:t>
            </w:r>
          </w:p>
        </w:tc>
        <w:tc>
          <w:tcPr>
            <w:tcW w:type="dxa" w:w="2340"/>
            <w:tcMar>
              <w:top w:type="dxa" w:w="40"/>
              <w:left w:type="dxa" w:w="90"/>
              <w:bottom w:type="dxa" w:w="40"/>
              <w:right w:type="dxa" w:w="90"/>
            </w:tcMar>
          </w:tcPr>
          <w:p>
            <w:r>
              <w:t xml:space="preserve">Poor Comms</w:t>
            </w:r>
          </w:p>
        </w:tc>
        <w:tc>
          <w:tcPr>
            <w:tcW w:type="dxa" w:w="2340"/>
            <w:tcMar>
              <w:top w:type="dxa" w:w="40"/>
              <w:left w:type="dxa" w:w="90"/>
              <w:bottom w:type="dxa" w:w="40"/>
              <w:right w:type="dxa" w:w="90"/>
            </w:tcMar>
          </w:tcPr>
          <w:p>
            <w:r>
              <w:t xml:space="preserve">$272,500</w:t>
            </w:r>
          </w:p>
        </w:tc>
      </w:tr>
      <w:tr>
        <w:trPr>
          <w:tblHeader w:val="false"/>
        </w:trPr>
        <w:tc>
          <w:tcPr>
            <w:tcW w:type="dxa" w:w="2340"/>
            <w:tcMar>
              <w:top w:type="dxa" w:w="40"/>
              <w:left w:type="dxa" w:w="90"/>
              <w:bottom w:type="dxa" w:w="40"/>
              <w:right w:type="dxa" w:w="90"/>
            </w:tcMar>
          </w:tcPr>
          <w:p>
            <w:r>
              <w:t xml:space="preserve">Sequoia Electrical Associates</w:t>
            </w:r>
          </w:p>
        </w:tc>
        <w:tc>
          <w:tcPr>
            <w:tcW w:type="dxa" w:w="2340"/>
            <w:tcMar>
              <w:top w:type="dxa" w:w="40"/>
              <w:left w:type="dxa" w:w="90"/>
              <w:bottom w:type="dxa" w:w="40"/>
              <w:right w:type="dxa" w:w="90"/>
            </w:tcMar>
          </w:tcPr>
          <w:p>
            <w:r>
              <w:t xml:space="preserve">Trevor Nguyen</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$259,000</w:t>
            </w:r>
          </w:p>
        </w:tc>
      </w:tr>
      <w:tr>
        <w:trPr>
          <w:tblHeader w:val="false"/>
        </w:trPr>
        <w:tc>
          <w:tcPr>
            <w:tcW w:type="dxa" w:w="2340"/>
            <w:tcMar>
              <w:top w:type="dxa" w:w="40"/>
              <w:left w:type="dxa" w:w="90"/>
              <w:bottom w:type="dxa" w:w="40"/>
              <w:right w:type="dxa" w:w="90"/>
            </w:tcMar>
          </w:tcPr>
          <w:p>
            <w:r>
              <w:t xml:space="preserve">Golden State Technologies Services</w:t>
            </w:r>
          </w:p>
        </w:tc>
        <w:tc>
          <w:tcPr>
            <w:tcW w:type="dxa" w:w="2340"/>
            <w:tcMar>
              <w:top w:type="dxa" w:w="40"/>
              <w:left w:type="dxa" w:w="90"/>
              <w:bottom w:type="dxa" w:w="40"/>
              <w:right w:type="dxa" w:w="90"/>
            </w:tcMar>
          </w:tcPr>
          <w:p>
            <w:r>
              <w:t xml:space="preserve">Andre Boseman</w:t>
            </w:r>
          </w:p>
        </w:tc>
        <w:tc>
          <w:tcPr>
            <w:tcW w:type="dxa" w:w="2340"/>
            <w:tcMar>
              <w:top w:type="dxa" w:w="40"/>
              <w:left w:type="dxa" w:w="90"/>
              <w:bottom w:type="dxa" w:w="40"/>
              <w:right w:type="dxa" w:w="90"/>
            </w:tcMar>
          </w:tcPr>
          <w:p>
            <w:r>
              <w:t xml:space="preserve">Poor Comms</w:t>
            </w:r>
          </w:p>
        </w:tc>
        <w:tc>
          <w:tcPr>
            <w:tcW w:type="dxa" w:w="2340"/>
            <w:tcMar>
              <w:top w:type="dxa" w:w="40"/>
              <w:left w:type="dxa" w:w="90"/>
              <w:bottom w:type="dxa" w:w="40"/>
              <w:right w:type="dxa" w:w="90"/>
            </w:tcMar>
          </w:tcPr>
          <w:p>
            <w:r>
              <w:t xml:space="preserve">$248,800</w:t>
            </w:r>
          </w:p>
        </w:tc>
      </w:tr>
      <w:tr>
        <w:trPr>
          <w:tblHeader w:val="false"/>
        </w:trPr>
        <w:tc>
          <w:tcPr>
            <w:tcW w:type="dxa" w:w="2340"/>
            <w:tcMar>
              <w:top w:type="dxa" w:w="40"/>
              <w:left w:type="dxa" w:w="90"/>
              <w:bottom w:type="dxa" w:w="40"/>
              <w:right w:type="dxa" w:w="90"/>
            </w:tcMar>
          </w:tcPr>
          <w:p>
            <w:r>
              <w:t xml:space="preserve">Sterling Electrical LLC</w:t>
            </w:r>
          </w:p>
        </w:tc>
        <w:tc>
          <w:tcPr>
            <w:tcW w:type="dxa" w:w="2340"/>
            <w:tcMar>
              <w:top w:type="dxa" w:w="40"/>
              <w:left w:type="dxa" w:w="90"/>
              <w:bottom w:type="dxa" w:w="40"/>
              <w:right w:type="dxa" w:w="90"/>
            </w:tcMar>
          </w:tcPr>
          <w:p>
            <w:r>
              <w:t xml:space="preserve">Trevor Nguyen</w:t>
            </w:r>
          </w:p>
        </w:tc>
        <w:tc>
          <w:tcPr>
            <w:tcW w:type="dxa" w:w="2340"/>
            <w:tcMar>
              <w:top w:type="dxa" w:w="40"/>
              <w:left w:type="dxa" w:w="90"/>
              <w:bottom w:type="dxa" w:w="40"/>
              <w:right w:type="dxa" w:w="90"/>
            </w:tcMar>
          </w:tcPr>
          <w:p>
            <w:r>
              <w:t xml:space="preserve">Delayed</w:t>
            </w:r>
          </w:p>
        </w:tc>
        <w:tc>
          <w:tcPr>
            <w:tcW w:type="dxa" w:w="2340"/>
            <w:tcMar>
              <w:top w:type="dxa" w:w="40"/>
              <w:left w:type="dxa" w:w="90"/>
              <w:bottom w:type="dxa" w:w="40"/>
              <w:right w:type="dxa" w:w="90"/>
            </w:tcMar>
          </w:tcPr>
          <w:p>
            <w:r>
              <w:t xml:space="preserve">$244,300</w:t>
            </w:r>
          </w:p>
        </w:tc>
      </w:tr>
    </w:tbl>
    <w:p>
      <w:pPr>
        <w:spacing w:after="120"/>
      </w:pPr>
    </w:p>
    <w:p>
      <w:pPr>
        <w:pBdr>
          <w:bottom w:val="single" w:color="CCCCCC" w:sz="6"/>
        </w:pBdr>
        <w:spacing w:after="120" w:before="80"/>
      </w:pPr>
    </w:p>
    <w:p>
      <w:pPr>
        <w:pStyle w:val="Heading2"/>
        <w:spacing w:after="80" w:before="200"/>
      </w:pPr>
      <w:r>
        <w:t xml:space="preserve">Coordinator performance, and an important nuance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1F3864" w:color="auto" w:val="clear"/>
            <w:tcMar>
              <w:top w:type="dxa" w:w="40"/>
              <w:left w:type="dxa" w:w="90"/>
              <w:bottom w:type="dxa" w:w="40"/>
              <w:right w:type="dxa" w:w="90"/>
            </w:tcMar>
          </w:tcPr>
          <w:p>
            <w:r>
              <w:rPr>
                <w:b/>
                <w:bCs/>
                <w:color w:val="FFFFFF"/>
              </w:rPr>
              <w:t xml:space="preserve">Coordinator</w:t>
            </w:r>
          </w:p>
        </w:tc>
        <w:tc>
          <w:tcPr>
            <w:tcW w:type="dxa" w:w="1872"/>
            <w:shd w:fill="1F3864" w:color="auto" w:val="clear"/>
            <w:tcMar>
              <w:top w:type="dxa" w:w="40"/>
              <w:left w:type="dxa" w:w="90"/>
              <w:bottom w:type="dxa" w:w="40"/>
              <w:right w:type="dxa" w:w="90"/>
            </w:tcMar>
          </w:tcPr>
          <w:p>
            <w:r>
              <w:rPr>
                <w:b/>
                <w:bCs/>
                <w:color w:val="FFFFFF"/>
              </w:rPr>
              <w:t xml:space="preserve">Total</w:t>
            </w:r>
          </w:p>
        </w:tc>
        <w:tc>
          <w:tcPr>
            <w:tcW w:type="dxa" w:w="1872"/>
            <w:shd w:fill="1F3864" w:color="auto" w:val="clear"/>
            <w:tcMar>
              <w:top w:type="dxa" w:w="40"/>
              <w:left w:type="dxa" w:w="90"/>
              <w:bottom w:type="dxa" w:w="40"/>
              <w:right w:type="dxa" w:w="90"/>
            </w:tcMar>
          </w:tcPr>
          <w:p>
            <w:r>
              <w:rPr>
                <w:b/>
                <w:bCs/>
                <w:color w:val="FFFFFF"/>
              </w:rPr>
              <w:t xml:space="preserve">Completion %</w:t>
            </w:r>
          </w:p>
        </w:tc>
        <w:tc>
          <w:tcPr>
            <w:tcW w:type="dxa" w:w="1872"/>
            <w:shd w:fill="1F3864" w:color="auto" w:val="clear"/>
            <w:tcMar>
              <w:top w:type="dxa" w:w="40"/>
              <w:left w:type="dxa" w:w="90"/>
              <w:bottom w:type="dxa" w:w="40"/>
              <w:right w:type="dxa" w:w="90"/>
            </w:tcMar>
          </w:tcPr>
          <w:p>
            <w:r>
              <w:rPr>
                <w:b/>
                <w:bCs/>
                <w:color w:val="FFFFFF"/>
              </w:rPr>
              <w:t xml:space="preserve">Critical at-risk</w:t>
            </w:r>
          </w:p>
        </w:tc>
        <w:tc>
          <w:tcPr>
            <w:tcW w:type="dxa" w:w="1872"/>
            <w:shd w:fill="1F3864" w:color="auto" w:val="clear"/>
            <w:tcMar>
              <w:top w:type="dxa" w:w="40"/>
              <w:left w:type="dxa" w:w="90"/>
              <w:bottom w:type="dxa" w:w="40"/>
              <w:right w:type="dxa" w:w="90"/>
            </w:tcMar>
          </w:tcPr>
          <w:p>
            <w:r>
              <w:rPr>
                <w:b/>
                <w:bCs/>
                <w:color w:val="FFFFFF"/>
              </w:rPr>
              <w:t xml:space="preserve">Spend at-risk</w:t>
            </w:r>
          </w:p>
        </w:tc>
      </w:tr>
      <w:tr>
        <w:trPr>
          <w:tblHeader w:val="false"/>
        </w:trPr>
        <w:tc>
          <w:tcPr>
            <w:tcW w:type="dxa" w:w="1872"/>
            <w:tcMar>
              <w:top w:type="dxa" w:w="40"/>
              <w:left w:type="dxa" w:w="90"/>
              <w:bottom w:type="dxa" w:w="40"/>
              <w:right w:type="dxa" w:w="90"/>
            </w:tcMar>
          </w:tcPr>
          <w:p>
            <w:r>
              <w:rPr>
                <w:b/>
                <w:bCs/>
              </w:rPr>
              <w:t xml:space="preserve">Marisol Reyes</w:t>
            </w:r>
          </w:p>
        </w:tc>
        <w:tc>
          <w:tcPr>
            <w:tcW w:type="dxa" w:w="1872"/>
            <w:tcMar>
              <w:top w:type="dxa" w:w="40"/>
              <w:left w:type="dxa" w:w="90"/>
              <w:bottom w:type="dxa" w:w="40"/>
              <w:right w:type="dxa" w:w="90"/>
            </w:tcMar>
          </w:tcPr>
          <w:p>
            <w:r>
              <w:t xml:space="preserve">53</w:t>
            </w:r>
          </w:p>
        </w:tc>
        <w:tc>
          <w:tcPr>
            <w:tcW w:type="dxa" w:w="1872"/>
            <w:tcMar>
              <w:top w:type="dxa" w:w="40"/>
              <w:left w:type="dxa" w:w="90"/>
              <w:bottom w:type="dxa" w:w="40"/>
              <w:right w:type="dxa" w:w="90"/>
            </w:tcMar>
          </w:tcPr>
          <w:p>
            <w:r>
              <w:rPr>
                <w:b/>
                <w:bCs/>
              </w:rPr>
              <w:t xml:space="preserve">57%</w:t>
            </w:r>
          </w:p>
        </w:tc>
        <w:tc>
          <w:tcPr>
            <w:tcW w:type="dxa" w:w="1872"/>
            <w:tcMar>
              <w:top w:type="dxa" w:w="40"/>
              <w:left w:type="dxa" w:w="90"/>
              <w:bottom w:type="dxa" w:w="40"/>
              <w:right w:type="dxa" w:w="90"/>
            </w:tcMar>
          </w:tcPr>
          <w:p>
            <w:r>
              <w:t xml:space="preserve">11</w:t>
            </w:r>
          </w:p>
        </w:tc>
        <w:tc>
          <w:tcPr>
            <w:tcW w:type="dxa" w:w="1872"/>
            <w:tcMar>
              <w:top w:type="dxa" w:w="40"/>
              <w:left w:type="dxa" w:w="90"/>
              <w:bottom w:type="dxa" w:w="40"/>
              <w:right w:type="dxa" w:w="90"/>
            </w:tcMar>
          </w:tcPr>
          <w:p>
            <w:r>
              <w:t xml:space="preserve">$1,843,300</w:t>
            </w:r>
          </w:p>
        </w:tc>
      </w:tr>
      <w:tr>
        <w:trPr>
          <w:tblHeader w:val="false"/>
        </w:trPr>
        <w:tc>
          <w:tcPr>
            <w:tcW w:type="dxa" w:w="1872"/>
            <w:tcMar>
              <w:top w:type="dxa" w:w="40"/>
              <w:left w:type="dxa" w:w="90"/>
              <w:bottom w:type="dxa" w:w="40"/>
              <w:right w:type="dxa" w:w="90"/>
            </w:tcMar>
          </w:tcPr>
          <w:p>
            <w:r>
              <w:rPr>
                <w:b/>
                <w:bCs/>
              </w:rPr>
              <w:t xml:space="preserve">Trevor Nguyen</w:t>
            </w:r>
          </w:p>
        </w:tc>
        <w:tc>
          <w:tcPr>
            <w:tcW w:type="dxa" w:w="1872"/>
            <w:tcMar>
              <w:top w:type="dxa" w:w="40"/>
              <w:left w:type="dxa" w:w="90"/>
              <w:bottom w:type="dxa" w:w="40"/>
              <w:right w:type="dxa" w:w="90"/>
            </w:tcMar>
          </w:tcPr>
          <w:p>
            <w:r>
              <w:t xml:space="preserve">53</w:t>
            </w:r>
          </w:p>
        </w:tc>
        <w:tc>
          <w:tcPr>
            <w:tcW w:type="dxa" w:w="1872"/>
            <w:tcMar>
              <w:top w:type="dxa" w:w="40"/>
              <w:left w:type="dxa" w:w="90"/>
              <w:bottom w:type="dxa" w:w="40"/>
              <w:right w:type="dxa" w:w="90"/>
            </w:tcMar>
          </w:tcPr>
          <w:p>
            <w:r>
              <w:rPr>
                <w:b/>
                <w:bCs/>
              </w:rPr>
              <w:t xml:space="preserve">57%</w:t>
            </w:r>
          </w:p>
        </w:tc>
        <w:tc>
          <w:tcPr>
            <w:tcW w:type="dxa" w:w="1872"/>
            <w:tcMar>
              <w:top w:type="dxa" w:w="40"/>
              <w:left w:type="dxa" w:w="90"/>
              <w:bottom w:type="dxa" w:w="40"/>
              <w:right w:type="dxa" w:w="90"/>
            </w:tcMar>
          </w:tcPr>
          <w:p>
            <w:r>
              <w:t xml:space="preserve">9</w:t>
            </w:r>
          </w:p>
        </w:tc>
        <w:tc>
          <w:tcPr>
            <w:tcW w:type="dxa" w:w="1872"/>
            <w:tcMar>
              <w:top w:type="dxa" w:w="40"/>
              <w:left w:type="dxa" w:w="90"/>
              <w:bottom w:type="dxa" w:w="40"/>
              <w:right w:type="dxa" w:w="90"/>
            </w:tcMar>
          </w:tcPr>
          <w:p>
            <w:r>
              <w:t xml:space="preserve">$1,627,600</w:t>
            </w:r>
          </w:p>
        </w:tc>
      </w:tr>
      <w:tr>
        <w:trPr>
          <w:tblHeader w:val="false"/>
        </w:trPr>
        <w:tc>
          <w:tcPr>
            <w:tcW w:type="dxa" w:w="1872"/>
            <w:tcMar>
              <w:top w:type="dxa" w:w="40"/>
              <w:left w:type="dxa" w:w="90"/>
              <w:bottom w:type="dxa" w:w="40"/>
              <w:right w:type="dxa" w:w="90"/>
            </w:tcMar>
          </w:tcPr>
          <w:p>
            <w:r>
              <w:t xml:space="preserve">Damon Fields</w:t>
            </w:r>
          </w:p>
        </w:tc>
        <w:tc>
          <w:tcPr>
            <w:tcW w:type="dxa" w:w="1872"/>
            <w:tcMar>
              <w:top w:type="dxa" w:w="40"/>
              <w:left w:type="dxa" w:w="90"/>
              <w:bottom w:type="dxa" w:w="40"/>
              <w:right w:type="dxa" w:w="90"/>
            </w:tcMar>
          </w:tcPr>
          <w:p>
            <w:r>
              <w:t xml:space="preserve">53</w:t>
            </w:r>
          </w:p>
        </w:tc>
        <w:tc>
          <w:tcPr>
            <w:tcW w:type="dxa" w:w="1872"/>
            <w:tcMar>
              <w:top w:type="dxa" w:w="40"/>
              <w:left w:type="dxa" w:w="90"/>
              <w:bottom w:type="dxa" w:w="40"/>
              <w:right w:type="dxa" w:w="90"/>
            </w:tcMar>
          </w:tcPr>
          <w:p>
            <w:r>
              <w:t xml:space="preserve">38%</w:t>
            </w:r>
          </w:p>
        </w:tc>
        <w:tc>
          <w:tcPr>
            <w:tcW w:type="dxa" w:w="1872"/>
            <w:tcMar>
              <w:top w:type="dxa" w:w="40"/>
              <w:left w:type="dxa" w:w="90"/>
              <w:bottom w:type="dxa" w:w="40"/>
              <w:right w:type="dxa" w:w="90"/>
            </w:tcMar>
          </w:tcPr>
          <w:p>
            <w:r>
              <w:t xml:space="preserve">4</w:t>
            </w:r>
          </w:p>
        </w:tc>
        <w:tc>
          <w:tcPr>
            <w:tcW w:type="dxa" w:w="1872"/>
            <w:tcMar>
              <w:top w:type="dxa" w:w="40"/>
              <w:left w:type="dxa" w:w="90"/>
              <w:bottom w:type="dxa" w:w="40"/>
              <w:right w:type="dxa" w:w="90"/>
            </w:tcMar>
          </w:tcPr>
          <w:p>
            <w:r>
              <w:t xml:space="preserve">$1,656,700</w:t>
            </w:r>
          </w:p>
        </w:tc>
      </w:tr>
      <w:tr>
        <w:trPr>
          <w:tblHeader w:val="false"/>
        </w:trPr>
        <w:tc>
          <w:tcPr>
            <w:tcW w:type="dxa" w:w="1872"/>
            <w:tcMar>
              <w:top w:type="dxa" w:w="40"/>
              <w:left w:type="dxa" w:w="90"/>
              <w:bottom w:type="dxa" w:w="40"/>
              <w:right w:type="dxa" w:w="90"/>
            </w:tcMar>
          </w:tcPr>
          <w:p>
            <w:r>
              <w:t xml:space="preserve">Andre Boseman</w:t>
            </w:r>
          </w:p>
        </w:tc>
        <w:tc>
          <w:tcPr>
            <w:tcW w:type="dxa" w:w="1872"/>
            <w:tcMar>
              <w:top w:type="dxa" w:w="40"/>
              <w:left w:type="dxa" w:w="90"/>
              <w:bottom w:type="dxa" w:w="40"/>
              <w:right w:type="dxa" w:w="90"/>
            </w:tcMar>
          </w:tcPr>
          <w:p>
            <w:r>
              <w:t xml:space="preserve">53</w:t>
            </w:r>
          </w:p>
        </w:tc>
        <w:tc>
          <w:tcPr>
            <w:tcW w:type="dxa" w:w="1872"/>
            <w:tcMar>
              <w:top w:type="dxa" w:w="40"/>
              <w:left w:type="dxa" w:w="90"/>
              <w:bottom w:type="dxa" w:w="40"/>
              <w:right w:type="dxa" w:w="90"/>
            </w:tcMar>
          </w:tcPr>
          <w:p>
            <w:r>
              <w:t xml:space="preserve">38%</w:t>
            </w:r>
          </w:p>
        </w:tc>
        <w:tc>
          <w:tcPr>
            <w:tcW w:type="dxa" w:w="1872"/>
            <w:tcMar>
              <w:top w:type="dxa" w:w="40"/>
              <w:left w:type="dxa" w:w="90"/>
              <w:bottom w:type="dxa" w:w="40"/>
              <w:right w:type="dxa" w:w="90"/>
            </w:tcMar>
          </w:tcPr>
          <w:p>
            <w:r>
              <w:t xml:space="preserve">3</w:t>
            </w:r>
          </w:p>
        </w:tc>
        <w:tc>
          <w:tcPr>
            <w:tcW w:type="dxa" w:w="1872"/>
            <w:tcMar>
              <w:top w:type="dxa" w:w="40"/>
              <w:left w:type="dxa" w:w="90"/>
              <w:bottom w:type="dxa" w:w="40"/>
              <w:right w:type="dxa" w:w="90"/>
            </w:tcMar>
          </w:tcPr>
          <w:p>
            <w:r>
              <w:t xml:space="preserve">$1,180,400</w:t>
            </w:r>
          </w:p>
        </w:tc>
      </w:tr>
      <w:tr>
        <w:trPr>
          <w:tblHeader w:val="false"/>
        </w:trPr>
        <w:tc>
          <w:tcPr>
            <w:tcW w:type="dxa" w:w="1872"/>
            <w:tcMar>
              <w:top w:type="dxa" w:w="40"/>
              <w:left w:type="dxa" w:w="90"/>
              <w:bottom w:type="dxa" w:w="40"/>
              <w:right w:type="dxa" w:w="90"/>
            </w:tcMar>
          </w:tcPr>
          <w:p>
            <w:r>
              <w:t xml:space="preserve">Hannah Whitlock</w:t>
            </w:r>
          </w:p>
        </w:tc>
        <w:tc>
          <w:tcPr>
            <w:tcW w:type="dxa" w:w="1872"/>
            <w:tcMar>
              <w:top w:type="dxa" w:w="40"/>
              <w:left w:type="dxa" w:w="90"/>
              <w:bottom w:type="dxa" w:w="40"/>
              <w:right w:type="dxa" w:w="90"/>
            </w:tcMar>
          </w:tcPr>
          <w:p>
            <w:r>
              <w:t xml:space="preserve">52</w:t>
            </w:r>
          </w:p>
        </w:tc>
        <w:tc>
          <w:tcPr>
            <w:tcW w:type="dxa" w:w="1872"/>
            <w:tcMar>
              <w:top w:type="dxa" w:w="40"/>
              <w:left w:type="dxa" w:w="90"/>
              <w:bottom w:type="dxa" w:w="40"/>
              <w:right w:type="dxa" w:w="90"/>
            </w:tcMar>
          </w:tcPr>
          <w:p>
            <w:r>
              <w:t xml:space="preserve">29%</w:t>
            </w:r>
          </w:p>
        </w:tc>
        <w:tc>
          <w:tcPr>
            <w:tcW w:type="dxa" w:w="1872"/>
            <w:tcMar>
              <w:top w:type="dxa" w:w="40"/>
              <w:left w:type="dxa" w:w="90"/>
              <w:bottom w:type="dxa" w:w="40"/>
              <w:right w:type="dxa" w:w="90"/>
            </w:tcMar>
          </w:tcPr>
          <w:p>
            <w:r>
              <w:t xml:space="preserve">2</w:t>
            </w:r>
          </w:p>
        </w:tc>
        <w:tc>
          <w:tcPr>
            <w:tcW w:type="dxa" w:w="1872"/>
            <w:tcMar>
              <w:top w:type="dxa" w:w="40"/>
              <w:left w:type="dxa" w:w="90"/>
              <w:bottom w:type="dxa" w:w="40"/>
              <w:right w:type="dxa" w:w="90"/>
            </w:tcMar>
          </w:tcPr>
          <w:p>
            <w:r>
              <w:t xml:space="preserve">$1,303,600</w:t>
            </w:r>
          </w:p>
        </w:tc>
      </w:tr>
      <w:tr>
        <w:trPr>
          <w:tblHeader w:val="false"/>
        </w:trPr>
        <w:tc>
          <w:tcPr>
            <w:tcW w:type="dxa" w:w="1872"/>
            <w:tcMar>
              <w:top w:type="dxa" w:w="40"/>
              <w:left w:type="dxa" w:w="90"/>
              <w:bottom w:type="dxa" w:w="40"/>
              <w:right w:type="dxa" w:w="90"/>
            </w:tcMar>
          </w:tcPr>
          <w:p>
            <w:r>
              <w:t xml:space="preserve">Priya Kapoor</w:t>
            </w:r>
          </w:p>
        </w:tc>
        <w:tc>
          <w:tcPr>
            <w:tcW w:type="dxa" w:w="1872"/>
            <w:tcMar>
              <w:top w:type="dxa" w:w="40"/>
              <w:left w:type="dxa" w:w="90"/>
              <w:bottom w:type="dxa" w:w="40"/>
              <w:right w:type="dxa" w:w="90"/>
            </w:tcMar>
          </w:tcPr>
          <w:p>
            <w:r>
              <w:t xml:space="preserve">53</w:t>
            </w:r>
          </w:p>
        </w:tc>
        <w:tc>
          <w:tcPr>
            <w:tcW w:type="dxa" w:w="1872"/>
            <w:tcMar>
              <w:top w:type="dxa" w:w="40"/>
              <w:left w:type="dxa" w:w="90"/>
              <w:bottom w:type="dxa" w:w="40"/>
              <w:right w:type="dxa" w:w="90"/>
            </w:tcMar>
          </w:tcPr>
          <w:p>
            <w:r>
              <w:t xml:space="preserve">28%</w:t>
            </w:r>
          </w:p>
        </w:tc>
        <w:tc>
          <w:tcPr>
            <w:tcW w:type="dxa" w:w="1872"/>
            <w:tcMar>
              <w:top w:type="dxa" w:w="40"/>
              <w:left w:type="dxa" w:w="90"/>
              <w:bottom w:type="dxa" w:w="40"/>
              <w:right w:type="dxa" w:w="90"/>
            </w:tcMar>
          </w:tcPr>
          <w:p>
            <w:r>
              <w:t xml:space="preserve">3</w:t>
            </w:r>
          </w:p>
        </w:tc>
        <w:tc>
          <w:tcPr>
            <w:tcW w:type="dxa" w:w="1872"/>
            <w:tcMar>
              <w:top w:type="dxa" w:w="40"/>
              <w:left w:type="dxa" w:w="90"/>
              <w:bottom w:type="dxa" w:w="40"/>
              <w:right w:type="dxa" w:w="90"/>
            </w:tcMar>
          </w:tcPr>
          <w:p>
            <w:r>
              <w:t xml:space="preserve">$920,600</w:t>
            </w:r>
          </w:p>
        </w:tc>
      </w:tr>
      <w:tr>
        <w:trPr>
          <w:tblHeader w:val="false"/>
        </w:trPr>
        <w:tc>
          <w:tcPr>
            <w:tcW w:type="dxa" w:w="1872"/>
            <w:tcMar>
              <w:top w:type="dxa" w:w="40"/>
              <w:left w:type="dxa" w:w="90"/>
              <w:bottom w:type="dxa" w:w="40"/>
              <w:right w:type="dxa" w:w="90"/>
            </w:tcMar>
          </w:tcPr>
          <w:p>
            <w:r>
              <w:t xml:space="preserve">Yuki Tanaka</w:t>
            </w:r>
          </w:p>
        </w:tc>
        <w:tc>
          <w:tcPr>
            <w:tcW w:type="dxa" w:w="1872"/>
            <w:tcMar>
              <w:top w:type="dxa" w:w="40"/>
              <w:left w:type="dxa" w:w="90"/>
              <w:bottom w:type="dxa" w:w="40"/>
              <w:right w:type="dxa" w:w="90"/>
            </w:tcMar>
          </w:tcPr>
          <w:p>
            <w:r>
              <w:t xml:space="preserve">53</w:t>
            </w:r>
          </w:p>
        </w:tc>
        <w:tc>
          <w:tcPr>
            <w:tcW w:type="dxa" w:w="1872"/>
            <w:tcMar>
              <w:top w:type="dxa" w:w="40"/>
              <w:left w:type="dxa" w:w="90"/>
              <w:bottom w:type="dxa" w:w="40"/>
              <w:right w:type="dxa" w:w="90"/>
            </w:tcMar>
          </w:tcPr>
          <w:p>
            <w:r>
              <w:t xml:space="preserve">19%</w:t>
            </w:r>
          </w:p>
        </w:tc>
        <w:tc>
          <w:tcPr>
            <w:tcW w:type="dxa" w:w="1872"/>
            <w:tcMar>
              <w:top w:type="dxa" w:w="40"/>
              <w:left w:type="dxa" w:w="90"/>
              <w:bottom w:type="dxa" w:w="40"/>
              <w:right w:type="dxa" w:w="90"/>
            </w:tcMar>
          </w:tcPr>
          <w:p>
            <w:r>
              <w:t xml:space="preserve">0</w:t>
            </w:r>
          </w:p>
        </w:tc>
        <w:tc>
          <w:tcPr>
            <w:tcW w:type="dxa" w:w="1872"/>
            <w:tcMar>
              <w:top w:type="dxa" w:w="40"/>
              <w:left w:type="dxa" w:w="90"/>
              <w:bottom w:type="dxa" w:w="40"/>
              <w:right w:type="dxa" w:w="90"/>
            </w:tcMar>
          </w:tcPr>
          <w:p>
            <w:r>
              <w:t xml:space="preserve">$179,200</w:t>
            </w:r>
          </w:p>
        </w:tc>
      </w:tr>
    </w:tbl>
    <w:p>
      <w:pPr>
        <w:spacing w:after="120"/>
      </w:pPr>
    </w:p>
    <w:p>
      <w:pPr>
        <w:spacing w:after="120"/>
      </w:pPr>
      <w:r>
        <w:t xml:space="preserve">Marisol and Trevor lead on completion (57% each), but here is the nuance a good analyst catches: they also carry the highest at-risk exposure, because they were assigned the heaviest concentration of critical, high-dollar suppliers. Their 57% is more impressive, not less, because they are finishing the hardest books. Completion rate read in isolation would mislead a stakeholder. It has to be weighted by what each coordinator is actually carrying.</w:t>
      </w:r>
    </w:p>
    <w:p>
      <w:pPr>
        <w:spacing w:after="120"/>
      </w:pPr>
      <w:r>
        <w:t xml:space="preserve">The same nuance runs the other direction with Yuki Tanaka: lowest completion at 19%, which looks alarming, but Yuki holds zero critical at-risk suppliers and only $179K of spend at risk, with a large Received pipeline still in motion. Yuki's book is low-criticality and mid-process, not a crisis. Low completion does not equal high risk.</w:t>
      </w:r>
    </w:p>
    <w:p>
      <w:pPr>
        <w:pBdr>
          <w:bottom w:val="single" w:color="CCCCCC" w:sz="6"/>
        </w:pBdr>
        <w:spacing w:after="120" w:before="80"/>
      </w:pPr>
    </w:p>
    <w:p>
      <w:pPr>
        <w:pStyle w:val="Heading2"/>
        <w:spacing w:after="80" w:before="200"/>
      </w:pPr>
      <w:r>
        <w:t xml:space="preserve">Red flags: the concentration patterns</w:t>
      </w:r>
    </w:p>
    <w:p>
      <w:pPr>
        <w:spacing w:after="120"/>
      </w:pPr>
      <w:r>
        <w:t xml:space="preserve">Two patterns jump out of the data that a status average would hide.</w:t>
      </w:r>
    </w:p>
    <w:p>
      <w:pPr>
        <w:spacing w:after="120"/>
      </w:pPr>
      <w:r>
        <w:rPr>
          <w:b/>
          <w:bCs/>
        </w:rPr>
        <w:t xml:space="preserve">Poor communication is concentrated in three coordinators.</w:t>
      </w:r>
      <w:r>
        <w:t xml:space="preserve"> All 23 poor-communication flags sit with Priya Kapoor (8), Hannah Whitlock (8), and Andre Boseman (7). The other four coordinators have none. When a problem clusters this cleanly, it is rarely coincidence. It points to either a workload imbalance, a batch of genuinely unresponsive vendors assigned to those three, or a coaching opportunity. It is worth diagnosing why before treating the symptom.</w:t>
      </w:r>
    </w:p>
    <w:p>
      <w:pPr>
        <w:spacing w:after="120"/>
      </w:pPr>
      <w:r>
        <w:rPr>
          <w:b/>
          <w:bCs/>
        </w:rPr>
        <w:t xml:space="preserve">Every Delayed (EOD) flag belongs to one coordinator.</w:t>
      </w:r>
      <w:r>
        <w:t xml:space="preserve"> All 12 end-of-day-deadline delays are Damon Fields's. A single coordinator holding 100% of the most time-sensitive delays signals a bottleneck. Damon may be carrying a batch of hard-deadline vendors that needs either reinforcement or reassignment before those deadlines pass.</w:t>
      </w:r>
    </w:p>
    <w:p>
      <w:pPr>
        <w:pBdr>
          <w:bottom w:val="single" w:color="CCCCCC" w:sz="6"/>
        </w:pBdr>
        <w:spacing w:after="120" w:before="80"/>
      </w:pPr>
    </w:p>
    <w:p>
      <w:pPr>
        <w:pStyle w:val="Heading2"/>
        <w:spacing w:after="80" w:before="200"/>
      </w:pPr>
      <w:r>
        <w:t xml:space="preserve">Recommendations</w:t>
      </w:r>
    </w:p>
    <w:p>
      <w:pPr>
        <w:spacing w:after="120"/>
      </w:pPr>
      <w:r>
        <w:t xml:space="preserve">Ordered by risk to opening day.</w:t>
      </w:r>
    </w:p>
    <w:p>
      <w:pPr>
        <w:pStyle w:val="Heading3"/>
        <w:spacing w:after="80" w:before="200"/>
      </w:pPr>
      <w:r>
        <w:t xml:space="preserve">1. Triage the $5.55M in critical at-risk suppliers first</w:t>
      </w:r>
    </w:p>
    <w:p>
      <w:pPr>
        <w:spacing w:after="120"/>
      </w:pPr>
      <w:r>
        <w:t xml:space="preserve">The 32 delayed-or-unresponsive critical suppliers are the only items that can stop the doors from opening. Escalate the top-ten at-risk list immediately, starting with Monarch Mechanical ($434K) and Precision Electrical ($408K), with direct outreach and firm deadlines. Everything else is secondary to securing HVAC, electrical, security, fire and life safety, and elevators.</w:t>
      </w:r>
    </w:p>
    <w:p>
      <w:pPr>
        <w:pStyle w:val="Heading3"/>
        <w:spacing w:after="80" w:before="200"/>
      </w:pPr>
      <w:r>
        <w:t xml:space="preserve">2. Diagnose the poor-communication cluster</w:t>
      </w:r>
    </w:p>
    <w:p>
      <w:pPr>
        <w:spacing w:after="120"/>
      </w:pPr>
      <w:r>
        <w:t xml:space="preserve">Priya, Hannah, and Andre hold all 23 poor-comms flags. Meet with these three to determine cause (workload, vendor quality, or process) and provide escalation support or reassign the truly unresponsive vendors. Solving this clears the softest, most fixable part of the risk.</w:t>
      </w:r>
    </w:p>
    <w:p>
      <w:pPr>
        <w:pStyle w:val="Heading3"/>
        <w:spacing w:after="80" w:before="200"/>
      </w:pPr>
      <w:r>
        <w:t xml:space="preserve">3. Break the EOD bottleneck on Damon's book</w:t>
      </w:r>
    </w:p>
    <w:p>
      <w:pPr>
        <w:spacing w:after="120"/>
      </w:pPr>
      <w:r>
        <w:t xml:space="preserve">All 12 end-of-day delays are Damon's. Reinforce or partially reassign his time-critical vendors so no deadline lapses simply because one person is the single point of contact.</w:t>
      </w:r>
    </w:p>
    <w:p>
      <w:pPr>
        <w:pStyle w:val="Heading3"/>
        <w:spacing w:after="80" w:before="200"/>
      </w:pPr>
      <w:r>
        <w:t xml:space="preserve">4. Convert Yuki's Received backlog for a cheap completion bump</w:t>
      </w:r>
    </w:p>
    <w:p>
      <w:pPr>
        <w:spacing w:after="120"/>
      </w:pPr>
      <w:r>
        <w:t xml:space="preserve">Yuki has 40 vendors received but only 10 completed: low criticality, high volume, mid-process. A focused documentation push here raises the overall completion rate quickly and safely, with minimal risk exposure.</w:t>
      </w:r>
    </w:p>
    <w:p>
      <w:pPr>
        <w:pStyle w:val="Heading3"/>
        <w:spacing w:after="80" w:before="200"/>
      </w:pPr>
      <w:r>
        <w:t xml:space="preserve">5. Codify what Marisol and Trevor do</w:t>
      </w:r>
    </w:p>
    <w:p>
      <w:pPr>
        <w:spacing w:after="120"/>
      </w:pPr>
      <w:r>
        <w:t xml:space="preserve">The two highest performers are also carrying the hardest books. Capture their onboarding approach as the standard operating procedure and use it to lift the middle of the pack. The best process improvement is already inside the team.</w:t>
      </w:r>
    </w:p>
    <w:p>
      <w:pPr>
        <w:pBdr>
          <w:bottom w:val="single" w:color="CCCCCC" w:sz="6"/>
        </w:pBdr>
        <w:spacing w:after="120" w:before="80"/>
      </w:pPr>
    </w:p>
    <w:p>
      <w:pPr>
        <w:pStyle w:val="Heading2"/>
        <w:spacing w:after="80" w:before="200"/>
      </w:pPr>
      <w:r>
        <w:t xml:space="preserve">What success looks like</w:t>
      </w:r>
    </w:p>
    <w:p>
      <w:pPr>
        <w:spacing w:after="120"/>
      </w:pPr>
      <w:r>
        <w:t xml:space="preserve">Opening readiness is not "100% of vendors onboarded." It is "100% of critical suppliers secured." The target is closing the 32 critical at-risk suppliers ($5.55M) before the arena opens, in priority order by spend and service type. The overall 38% completion figure will climb on its own as the pipeline drains. The critical-supplier number is the one that determines whether the building can operate.</w:t>
      </w:r>
    </w:p>
    <w:p>
      <w:pPr>
        <w:pBdr>
          <w:bottom w:val="single" w:color="CCCCCC" w:sz="6"/>
        </w:pBdr>
        <w:spacing w:after="120" w:before="80"/>
      </w:pPr>
    </w:p>
    <w:p>
      <w:pPr>
        <w:pStyle w:val="Heading2"/>
        <w:spacing w:after="80" w:before="200"/>
      </w:pPr>
      <w:r>
        <w:t xml:space="preserve">Method note</w:t>
      </w:r>
    </w:p>
    <w:p>
      <w:pPr>
        <w:spacing w:after="120"/>
      </w:pPr>
      <w:r>
        <w:t xml:space="preserve">This dashboard is fully live. A cleaned 370-vendor list feeds seven coordinator worksheets. A central formula engine (</w:t>
      </w:r>
      <w:r>
        <w:rPr>
          <w:rFonts w:ascii="Consolas" w:cs="Consolas" w:eastAsia="Consolas" w:hAnsi="Consolas"/>
        </w:rPr>
        <w:t xml:space="preserve">INDIRECT</w:t>
      </w:r>
      <w:r>
        <w:t xml:space="preserve"> plus </w:t>
      </w:r>
      <w:r>
        <w:rPr>
          <w:rFonts w:ascii="Consolas" w:cs="Consolas" w:eastAsia="Consolas" w:hAnsi="Consolas"/>
        </w:rPr>
        <w:t xml:space="preserve">COUNTIFS</w:t>
      </w:r>
      <w:r>
        <w:t xml:space="preserve"> and </w:t>
      </w:r>
      <w:r>
        <w:rPr>
          <w:rFonts w:ascii="Consolas" w:cs="Consolas" w:eastAsia="Consolas" w:hAnsi="Consolas"/>
        </w:rPr>
        <w:t xml:space="preserve">SUMIFS</w:t>
      </w:r>
      <w:r>
        <w:t xml:space="preserve"> across all seven tabs) rolls each coordinator's status counts, critical-at-risk count, and at-risk spend into one table. The KPI cards, the completion-by-coordinator bar, the status donut, the critical-focus split, and the top-at-risk leaderboard (</w:t>
      </w:r>
      <w:r>
        <w:rPr>
          <w:rFonts w:ascii="Consolas" w:cs="Consolas" w:eastAsia="Consolas" w:hAnsi="Consolas"/>
        </w:rPr>
        <w:t xml:space="preserve">VSTACK</w:t>
      </w:r>
      <w:r>
        <w:t xml:space="preserve"> plus </w:t>
      </w:r>
      <w:r>
        <w:rPr>
          <w:rFonts w:ascii="Consolas" w:cs="Consolas" w:eastAsia="Consolas" w:hAnsi="Consolas"/>
        </w:rPr>
        <w:t xml:space="preserve">FILTER</w:t>
      </w:r>
      <w:r>
        <w:t xml:space="preserve"> plus </w:t>
      </w:r>
      <w:r>
        <w:rPr>
          <w:rFonts w:ascii="Consolas" w:cs="Consolas" w:eastAsia="Consolas" w:hAnsi="Consolas"/>
        </w:rPr>
        <w:t xml:space="preserve">SORT</w:t>
      </w:r>
      <w:r>
        <w:t xml:space="preserve"> plus </w:t>
      </w:r>
      <w:r>
        <w:rPr>
          <w:rFonts w:ascii="Consolas" w:cs="Consolas" w:eastAsia="Consolas" w:hAnsi="Consolas"/>
        </w:rPr>
        <w:t xml:space="preserve">TAKE</w:t>
      </w:r>
      <w:r>
        <w:t xml:space="preserve">) all read from that engine, so the moment a coordinator updates a vendor's status, every number and chart re-ranks itself. Nothing on the dashboard is hardcoded. The raw data began as a deliberately dirty 400-row list (exact duplicates and fuzzy name variants) and was cleaned to 370 via Remove Duplicates and Fuzzy Lookup, the data-quality step that makes every downstream number trustworthy.</w:t>
      </w:r>
    </w:p>
    <w:p>
      <w:r>
        <w:br w:type="page"/>
      </w:r>
    </w:p>
    <w:p>
      <w:pPr>
        <w:pStyle w:val="Heading1"/>
        <w:spacing w:after="80" w:before="120"/>
      </w:pPr>
      <w:r>
        <w:t xml:space="preserve">Appendix: The Live Engine</w:t>
      </w:r>
    </w:p>
    <w:p>
      <w:pPr>
        <w:spacing w:after="160"/>
      </w:pPr>
      <w:r>
        <w:t xml:space="preserve">Nothing on the dashboard is hardcoded. A cleaned 370-vendor list feeds seven coordinator worksheets, and a central formula engine rolls every note, status, and success flag into one table, so the moment a coordinator updates a vendor, every number and chart re-ranks itself. The six captures below show the exact formulas, so the dashboard can be read, defended, and rebuilt from scratch.</w:t>
      </w:r>
    </w:p>
    <w:p>
      <w:pPr>
        <w:pStyle w:val="Heading3"/>
        <w:spacing w:after="60" w:before="180"/>
      </w:pPr>
      <w:r>
        <w:t xml:space="preserve">Step 1 — Roll up Comm Notes (XLOOKUP + INDIRECT)</w:t>
      </w:r>
    </w:p>
    <w:p>
      <w:pPr>
        <w:spacing w:after="60"/>
      </w:pPr>
      <w:r>
        <w:drawing>
          <wp:inline distT="0" distB="0" distL="0" distR="0">
            <wp:extent cx="590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43150"/>
                    </a:xfrm>
                    <a:prstGeom prst="rect">
                      <a:avLst/>
                    </a:prstGeom>
                  </pic:spPr>
                </pic:pic>
              </a:graphicData>
            </a:graphic>
          </wp:inline>
        </w:drawing>
      </w:r>
    </w:p>
    <w:p>
      <w:pPr>
        <w:spacing w:after="100"/>
      </w:pPr>
      <w:r>
        <w:rPr>
          <w:color w:val="444444"/>
        </w:rPr>
        <w:t xml:space="preserve">XLOOKUP finds each vendor by Company ID, and INDIRECT builds the sheet reference from the coordinator name, so all seven coordinator tabs feed the central Assignments engine with a single reusable formula.</w:t>
      </w:r>
    </w:p>
    <w:p>
      <w:pPr>
        <w:pStyle w:val="Heading3"/>
        <w:spacing w:after="60" w:before="180"/>
      </w:pPr>
      <w:r>
        <w:t xml:space="preserve">Step 2 — Roll up onboarding Status</w:t>
      </w:r>
    </w:p>
    <w:p>
      <w:pPr>
        <w:spacing w:after="60"/>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47900"/>
                    </a:xfrm>
                    <a:prstGeom prst="rect">
                      <a:avLst/>
                    </a:prstGeom>
                  </pic:spPr>
                </pic:pic>
              </a:graphicData>
            </a:graphic>
          </wp:inline>
        </w:drawing>
      </w:r>
    </w:p>
    <w:p>
      <w:pPr>
        <w:spacing w:after="100"/>
      </w:pPr>
      <w:r>
        <w:rPr>
          <w:color w:val="444444"/>
        </w:rPr>
        <w:t xml:space="preserve">The same XLOOKUP + INDIRECT pattern, pointed at the Status column. Because the sheet reference is built from the Coordinator field, adding or renaming a coordinator tab needs no formula edits.</w:t>
      </w:r>
    </w:p>
    <w:p>
      <w:pPr>
        <w:pStyle w:val="Heading3"/>
        <w:spacing w:after="60" w:before="180"/>
      </w:pPr>
      <w:r>
        <w:t xml:space="preserve">Step 3 — Roll up Onboard Success</w:t>
      </w:r>
    </w:p>
    <w:p>
      <w:pPr>
        <w:spacing w:after="60"/>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85975"/>
                    </a:xfrm>
                    <a:prstGeom prst="rect">
                      <a:avLst/>
                    </a:prstGeom>
                  </pic:spPr>
                </pic:pic>
              </a:graphicData>
            </a:graphic>
          </wp:inline>
        </w:drawing>
      </w:r>
    </w:p>
    <w:p>
      <w:pPr>
        <w:spacing w:after="100"/>
      </w:pPr>
      <w:r>
        <w:rPr>
          <w:color w:val="444444"/>
        </w:rPr>
        <w:t xml:space="preserve">The third field completes the engine: three columns, one pattern, every vendor’s live state pulled into a single table that the KPI cards and charts read from.</w:t>
      </w:r>
    </w:p>
    <w:p>
      <w:pPr>
        <w:pStyle w:val="Heading3"/>
        <w:spacing w:after="60" w:before="180"/>
      </w:pPr>
      <w:r>
        <w:t xml:space="preserve">Step 4 — Notes source (VLOOKUP into coordinator_notes.xlsx)</w:t>
      </w:r>
    </w:p>
    <w:p>
      <w:pPr>
        <w:spacing w:after="60"/>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14475"/>
                    </a:xfrm>
                    <a:prstGeom prst="rect">
                      <a:avLst/>
                    </a:prstGeom>
                  </pic:spPr>
                </pic:pic>
              </a:graphicData>
            </a:graphic>
          </wp:inline>
        </w:drawing>
      </w:r>
    </w:p>
    <w:p>
      <w:pPr>
        <w:spacing w:after="100"/>
      </w:pPr>
      <w:r>
        <w:rPr>
          <w:color w:val="444444"/>
        </w:rPr>
        <w:t xml:space="preserve">On each coordinator sheet, VLOOKUP pulls each vendor’s Comm Notes from a separate coordinator_notes.xlsx. Keeping the notes in their own file keeps the working sheets clean.</w:t>
      </w:r>
    </w:p>
    <w:p>
      <w:pPr>
        <w:pStyle w:val="Heading3"/>
        <w:spacing w:after="60" w:before="180"/>
      </w:pPr>
      <w:r>
        <w:t xml:space="preserve">Step 5 — Status source (the same VLOOKUP)</w:t>
      </w:r>
    </w:p>
    <w:p>
      <w:pPr>
        <w:spacing w:after="60"/>
      </w:pPr>
      <w:r>
        <w:drawing>
          <wp:inline distT="0" distB="0" distL="0" distR="0">
            <wp:extent cx="5905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95425"/>
                    </a:xfrm>
                    <a:prstGeom prst="rect">
                      <a:avLst/>
                    </a:prstGeom>
                  </pic:spPr>
                </pic:pic>
              </a:graphicData>
            </a:graphic>
          </wp:inline>
        </w:drawing>
      </w:r>
    </w:p>
    <w:p>
      <w:pPr>
        <w:spacing w:after="100"/>
      </w:pPr>
      <w:r>
        <w:rPr>
          <w:color w:val="444444"/>
        </w:rPr>
        <w:t xml:space="preserve">A second VLOOKUP against the same notes workbook returns each vendor’s Status. Status and notes resolve from the same source row, keyed on Company ID, so they never drift out of sync.</w:t>
      </w:r>
    </w:p>
    <w:p>
      <w:pPr>
        <w:pStyle w:val="Heading3"/>
        <w:spacing w:after="60" w:before="180"/>
      </w:pPr>
      <w:r>
        <w:t xml:space="preserve">Step 6 — Onboard Success logic (IF / COUNTIF)</w:t>
      </w:r>
    </w:p>
    <w:p>
      <w:pPr>
        <w:spacing w:after="60"/>
      </w:pPr>
      <w:r>
        <w:drawing>
          <wp:inline distT="0" distB="0" distL="0" distR="0">
            <wp:extent cx="5905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47775"/>
                    </a:xfrm>
                    <a:prstGeom prst="rect">
                      <a:avLst/>
                    </a:prstGeom>
                  </pic:spPr>
                </pic:pic>
              </a:graphicData>
            </a:graphic>
          </wp:inline>
        </w:drawing>
      </w:r>
    </w:p>
    <w:p>
      <w:pPr>
        <w:spacing w:after="100"/>
      </w:pPr>
      <w:r>
        <w:rPr>
          <w:color w:val="444444"/>
        </w:rPr>
        <w:t xml:space="preserve">IF(COUNTIF over the COI, W9, and Spend checkboxes) returns TRUE only when all three documents are in, RECEIVED when some are, and FALSE otherwise. Conditional formatting shades RECEIVED yellow and TRUE green, so readiness is visible at a glance and impossible to fake.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60f2856ee501994fe9979d75de3964fc24a064.undefined"/><Relationship Id="rId8" Type="http://schemas.openxmlformats.org/officeDocument/2006/relationships/image" Target="media/b8e68e84146904ebd3e994fdfcf3e564fc94b2d6.undefined"/><Relationship Id="rId9" Type="http://schemas.openxmlformats.org/officeDocument/2006/relationships/image" Target="media/db02abd85f0f82c3146e41d1ca338fdae76519e0.undefined"/><Relationship Id="rId10" Type="http://schemas.openxmlformats.org/officeDocument/2006/relationships/image" Target="media/7deeedbf41b2045d6ceb54f594f9be508ab86993.undefined"/><Relationship Id="rId11" Type="http://schemas.openxmlformats.org/officeDocument/2006/relationships/image" Target="media/2f4f026a46c65277a612ef8ad6f348c7ec1d8730.undefined"/><Relationship Id="rId12" Type="http://schemas.openxmlformats.org/officeDocument/2006/relationships/image" Target="media/0fef93f8414a83f7286aa3e8bb39fa0cf2a8749b.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2026-09-25T14:01:44.703Z</dcterms:created>
  <dcterms:modified xsi:type="dcterms:W3CDTF">2026-09-25T14:01:44.712Z</dcterms:modified>
</cp:coreProperties>
</file>

<file path=docProps/custom.xml><?xml version="1.0" encoding="utf-8"?>
<Properties xmlns="http://schemas.openxmlformats.org/officeDocument/2006/custom-properties" xmlns:vt="http://schemas.openxmlformats.org/officeDocument/2006/docPropsVTypes"/>
</file>