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t xml:space="preserve">Customer Churn &amp; Retention: Insights &amp; Recommendations</w:t>
      </w:r>
    </w:p>
    <w:p>
      <w:pPr>
        <w:spacing w:after="120"/>
      </w:pPr>
      <w:r>
        <w:rPr>
          <w:b/>
          <w:bCs/>
        </w:rPr>
        <w:t xml:space="preserve">Analyst:</w:t>
      </w:r>
      <w:r>
        <w:t xml:space="preserve"> Spoon · </w:t>
      </w:r>
      <w:r>
        <w:rPr>
          <w:b/>
          <w:bCs/>
        </w:rPr>
        <w:t xml:space="preserve">Tools:</w:t>
      </w:r>
      <w:r>
        <w:t xml:space="preserve"> BigQuery (SQL), Excel, dashboard, Claude (AI assistant) · </w:t>
      </w:r>
      <w:r>
        <w:rPr>
          <w:b/>
          <w:bCs/>
        </w:rPr>
        <w:t xml:space="preserve">Grain:</w:t>
      </w:r>
      <w:r>
        <w:t xml:space="preserve"> one row per customer</w:t>
      </w:r>
    </w:p>
    <w:p>
      <w:pPr>
        <w:spacing w:after="120"/>
      </w:pPr>
      <w:r>
        <w:rPr>
          <w:b/>
          <w:bCs/>
        </w:rPr>
        <w:t xml:space="preserve">Dataset:</w:t>
      </w:r>
      <w:r>
        <w:t xml:space="preserve"> IBM Telco Customer Churn (7,043 customers, 21 fields) · </w:t>
      </w:r>
      <w:r>
        <w:rPr>
          <w:b/>
          <w:bCs/>
        </w:rPr>
        <w:t xml:space="preserve">Source:</w:t>
      </w:r>
      <w:r>
        <w:t xml:space="preserve"> raw dataset, analyzed in BigQuery</w:t>
      </w:r>
    </w:p>
    <w:p>
      <w:pPr>
        <w:pBdr>
          <w:bottom w:val="single" w:color="CCCCCC" w:sz="6"/>
        </w:pBdr>
        <w:spacing w:after="120" w:before="80"/>
      </w:pPr>
    </w:p>
    <w:p>
      <w:pPr>
        <w:pStyle w:val="Heading2"/>
        <w:spacing w:after="80" w:before="200"/>
      </w:pPr>
      <w:r>
        <w:t xml:space="preserve">Executive summary</w:t>
      </w:r>
    </w:p>
    <w:p>
      <w:pPr>
        <w:spacing w:after="120"/>
      </w:pPr>
      <w:r>
        <w:t xml:space="preserve">The business is losing </w:t>
      </w:r>
      <w:r>
        <w:rPr>
          <w:b/>
          <w:bCs/>
        </w:rPr>
        <w:t xml:space="preserve">1,869 of 7,043 customers, a 26.5% churn rate</w:t>
      </w:r>
      <w:r>
        <w:t xml:space="preserve">, and those customers carry </w:t>
      </w:r>
      <w:r>
        <w:rPr>
          <w:b/>
          <w:bCs/>
        </w:rPr>
        <w:t xml:space="preserve">$1,669,570 in annual recurring revenue</w:t>
      </w:r>
      <w:r>
        <w:t xml:space="preserve">. That figure is </w:t>
      </w:r>
      <w:r>
        <w:rPr>
          <w:b/>
          <w:bCs/>
        </w:rPr>
        <w:t xml:space="preserve">30.5% of the company's entire $5.47M annual revenue base</w:t>
      </w:r>
      <w:r>
        <w:t xml:space="preserve"> walking out the door each year.</w:t>
      </w:r>
    </w:p>
    <w:p>
      <w:pPr>
        <w:spacing w:after="120"/>
      </w:pPr>
      <w:r>
        <w:t xml:space="preserve">The loss is not evenly spread. It concentrates so tightly that it can be named in one sentence: new, month-to-month, fiber-optic customers who pay by electronic check. One segment alone, month-to-month plus fiber plus electronic check, is </w:t>
      </w:r>
      <w:r>
        <w:rPr>
          <w:b/>
          <w:bCs/>
        </w:rPr>
        <w:t xml:space="preserve">1,307 customers churning at 60.4%</w:t>
      </w:r>
      <w:r>
        <w:t xml:space="preserve">, and it accounts for </w:t>
      </w:r>
      <w:r>
        <w:rPr>
          <w:b/>
          <w:bCs/>
        </w:rPr>
        <w:t xml:space="preserve">$819,378, or 49% of all at-risk revenue.</w:t>
      </w:r>
    </w:p>
    <w:p>
      <w:pPr>
        <w:spacing w:after="120"/>
      </w:pPr>
      <w:r>
        <w:t xml:space="preserve">Because the churn is concentrated, the fix can be too. Three levers (contract conversion, auto-pay enrollment, and first-year onboarding) target the exact customers bleeding revenue. This document shows the evidence for each and what to do about it.</w:t>
      </w:r>
    </w:p>
    <w:p>
      <w:pPr>
        <w:pBdr>
          <w:bottom w:val="single" w:color="CCCCCC" w:sz="6"/>
        </w:pBdr>
        <w:spacing w:after="120" w:before="80"/>
      </w:pPr>
    </w:p>
    <w:p>
      <w:pPr>
        <w:pStyle w:val="Heading2"/>
        <w:spacing w:after="80" w:before="200"/>
      </w:pPr>
      <w:r>
        <w:t xml:space="preserve">The situation</w:t>
      </w:r>
    </w:p>
    <w:p>
      <w:pPr>
        <w:spacing w:after="120"/>
      </w:pPr>
      <w:r>
        <w:t xml:space="preserve">A 26.5% annual churn rate means roughly one in four customers leaves every year. For a subscription business, that is the single most expensive problem on the books, because every churned customer must be replaced through acquisition just to stay flat, before any growth.</w:t>
      </w:r>
    </w:p>
    <w:p>
      <w:pPr>
        <w:spacing w:after="120"/>
      </w:pPr>
      <w:r>
        <w:t xml:space="preserve">The question this analysis answers is not "how much are we losing?" (that is the easy part) but "who exactly is leaving, and what do they have in common that we can act on?" The answer determines whether retention spend is scattered across 7,043 customers or aimed at the few thousand who actually drive the loss.</w:t>
      </w:r>
    </w:p>
    <w:p>
      <w:pPr>
        <w:pBdr>
          <w:bottom w:val="single" w:color="CCCCCC" w:sz="6"/>
        </w:pBdr>
        <w:spacing w:after="120" w:before="80"/>
      </w:pPr>
    </w:p>
    <w:p>
      <w:pPr>
        <w:pStyle w:val="Heading2"/>
        <w:spacing w:after="80" w:before="200"/>
      </w:pPr>
      <w:r>
        <w:t xml:space="preserve">Key findings: the four churn drivers</w:t>
      </w:r>
    </w:p>
    <w:p>
      <w:pPr>
        <w:pStyle w:val="Heading3"/>
        <w:spacing w:after="80" w:before="200"/>
      </w:pPr>
      <w:r>
        <w:t xml:space="preserve">1. Contract type is the strongest predictor of churn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3864" w:color="auto" w:val="clear"/>
            <w:tcMar>
              <w:top w:type="dxa" w:w="40"/>
              <w:left w:type="dxa" w:w="90"/>
              <w:bottom w:type="dxa" w:w="40"/>
              <w:right w:type="dxa" w:w="90"/>
            </w:tcMar>
          </w:tcPr>
          <w:p>
            <w:r>
              <w:rPr>
                <w:b/>
                <w:bCs/>
                <w:color w:val="FFFFFF"/>
              </w:rPr>
              <w:t xml:space="preserve">Contract</w:t>
            </w:r>
          </w:p>
        </w:tc>
        <w:tc>
          <w:tcPr>
            <w:tcW w:type="dxa" w:w="2340"/>
            <w:shd w:fill="1F3864" w:color="auto" w:val="clear"/>
            <w:tcMar>
              <w:top w:type="dxa" w:w="40"/>
              <w:left w:type="dxa" w:w="90"/>
              <w:bottom w:type="dxa" w:w="40"/>
              <w:right w:type="dxa" w:w="90"/>
            </w:tcMar>
          </w:tcPr>
          <w:p>
            <w:r>
              <w:rPr>
                <w:b/>
                <w:bCs/>
                <w:color w:val="FFFFFF"/>
              </w:rPr>
              <w:t xml:space="preserve">Customers</w:t>
            </w:r>
          </w:p>
        </w:tc>
        <w:tc>
          <w:tcPr>
            <w:tcW w:type="dxa" w:w="2340"/>
            <w:shd w:fill="1F3864" w:color="auto" w:val="clear"/>
            <w:tcMar>
              <w:top w:type="dxa" w:w="40"/>
              <w:left w:type="dxa" w:w="90"/>
              <w:bottom w:type="dxa" w:w="40"/>
              <w:right w:type="dxa" w:w="90"/>
            </w:tcMar>
          </w:tcPr>
          <w:p>
            <w:r>
              <w:rPr>
                <w:b/>
                <w:bCs/>
                <w:color w:val="FFFFFF"/>
              </w:rPr>
              <w:t xml:space="preserve">Churn rate</w:t>
            </w:r>
          </w:p>
        </w:tc>
        <w:tc>
          <w:tcPr>
            <w:tcW w:type="dxa" w:w="2340"/>
            <w:shd w:fill="1F3864" w:color="auto" w:val="clear"/>
            <w:tcMar>
              <w:top w:type="dxa" w:w="40"/>
              <w:left w:type="dxa" w:w="90"/>
              <w:bottom w:type="dxa" w:w="40"/>
              <w:right w:type="dxa" w:w="90"/>
            </w:tcMar>
          </w:tcPr>
          <w:p>
            <w:r>
              <w:rPr>
                <w:b/>
                <w:bCs/>
                <w:color w:val="FFFFFF"/>
              </w:rPr>
              <w:t xml:space="preserve">Annual revenue at risk</w:t>
            </w:r>
          </w:p>
        </w:tc>
      </w:tr>
      <w:tr>
        <w:trPr>
          <w:tblHeader w:val="false"/>
        </w:trPr>
        <w:tc>
          <w:tcPr>
            <w:tcW w:type="dxa" w:w="2340"/>
            <w:tcMar>
              <w:top w:type="dxa" w:w="40"/>
              <w:left w:type="dxa" w:w="90"/>
              <w:bottom w:type="dxa" w:w="40"/>
              <w:right w:type="dxa" w:w="90"/>
            </w:tcMar>
          </w:tcPr>
          <w:p>
            <w:r>
              <w:rPr>
                <w:b/>
                <w:bCs/>
              </w:rPr>
              <w:t xml:space="preserve">Month-to-month</w:t>
            </w:r>
          </w:p>
        </w:tc>
        <w:tc>
          <w:tcPr>
            <w:tcW w:type="dxa" w:w="2340"/>
            <w:tcMar>
              <w:top w:type="dxa" w:w="40"/>
              <w:left w:type="dxa" w:w="90"/>
              <w:bottom w:type="dxa" w:w="40"/>
              <w:right w:type="dxa" w:w="90"/>
            </w:tcMar>
          </w:tcPr>
          <w:p>
            <w:r>
              <w:t xml:space="preserve">3,875</w:t>
            </w:r>
          </w:p>
        </w:tc>
        <w:tc>
          <w:tcPr>
            <w:tcW w:type="dxa" w:w="2340"/>
            <w:tcMar>
              <w:top w:type="dxa" w:w="40"/>
              <w:left w:type="dxa" w:w="90"/>
              <w:bottom w:type="dxa" w:w="40"/>
              <w:right w:type="dxa" w:w="90"/>
            </w:tcMar>
          </w:tcPr>
          <w:p>
            <w:r>
              <w:rPr>
                <w:b/>
                <w:bCs/>
              </w:rPr>
              <w:t xml:space="preserve">42.7%</w:t>
            </w:r>
          </w:p>
        </w:tc>
        <w:tc>
          <w:tcPr>
            <w:tcW w:type="dxa" w:w="2340"/>
            <w:tcMar>
              <w:top w:type="dxa" w:w="40"/>
              <w:left w:type="dxa" w:w="90"/>
              <w:bottom w:type="dxa" w:w="40"/>
              <w:right w:type="dxa" w:w="90"/>
            </w:tcMar>
          </w:tcPr>
          <w:p>
            <w:r>
              <w:rPr>
                <w:b/>
                <w:bCs/>
              </w:rPr>
              <w:t xml:space="preserve">$1,450,165</w:t>
            </w:r>
          </w:p>
        </w:tc>
      </w:tr>
      <w:tr>
        <w:trPr>
          <w:tblHeader w:val="false"/>
        </w:trPr>
        <w:tc>
          <w:tcPr>
            <w:tcW w:type="dxa" w:w="2340"/>
            <w:tcMar>
              <w:top w:type="dxa" w:w="40"/>
              <w:left w:type="dxa" w:w="90"/>
              <w:bottom w:type="dxa" w:w="40"/>
              <w:right w:type="dxa" w:w="90"/>
            </w:tcMar>
          </w:tcPr>
          <w:p>
            <w:r>
              <w:t xml:space="preserve">One year</w:t>
            </w:r>
          </w:p>
        </w:tc>
        <w:tc>
          <w:tcPr>
            <w:tcW w:type="dxa" w:w="2340"/>
            <w:tcMar>
              <w:top w:type="dxa" w:w="40"/>
              <w:left w:type="dxa" w:w="90"/>
              <w:bottom w:type="dxa" w:w="40"/>
              <w:right w:type="dxa" w:w="90"/>
            </w:tcMar>
          </w:tcPr>
          <w:p>
            <w:r>
              <w:t xml:space="preserve">1,473</w:t>
            </w:r>
          </w:p>
        </w:tc>
        <w:tc>
          <w:tcPr>
            <w:tcW w:type="dxa" w:w="2340"/>
            <w:tcMar>
              <w:top w:type="dxa" w:w="40"/>
              <w:left w:type="dxa" w:w="90"/>
              <w:bottom w:type="dxa" w:w="40"/>
              <w:right w:type="dxa" w:w="90"/>
            </w:tcMar>
          </w:tcPr>
          <w:p>
            <w:r>
              <w:t xml:space="preserve">11.3%</w:t>
            </w:r>
          </w:p>
        </w:tc>
        <w:tc>
          <w:tcPr>
            <w:tcW w:type="dxa" w:w="2340"/>
            <w:tcMar>
              <w:top w:type="dxa" w:w="40"/>
              <w:left w:type="dxa" w:w="90"/>
              <w:bottom w:type="dxa" w:w="40"/>
              <w:right w:type="dxa" w:w="90"/>
            </w:tcMar>
          </w:tcPr>
          <w:p>
            <w:r>
              <w:t xml:space="preserve">$169,421</w:t>
            </w:r>
          </w:p>
        </w:tc>
      </w:tr>
      <w:tr>
        <w:trPr>
          <w:tblHeader w:val="false"/>
        </w:trPr>
        <w:tc>
          <w:tcPr>
            <w:tcW w:type="dxa" w:w="2340"/>
            <w:tcMar>
              <w:top w:type="dxa" w:w="40"/>
              <w:left w:type="dxa" w:w="90"/>
              <w:bottom w:type="dxa" w:w="40"/>
              <w:right w:type="dxa" w:w="90"/>
            </w:tcMar>
          </w:tcPr>
          <w:p>
            <w:r>
              <w:t xml:space="preserve">Two year</w:t>
            </w:r>
          </w:p>
        </w:tc>
        <w:tc>
          <w:tcPr>
            <w:tcW w:type="dxa" w:w="2340"/>
            <w:tcMar>
              <w:top w:type="dxa" w:w="40"/>
              <w:left w:type="dxa" w:w="90"/>
              <w:bottom w:type="dxa" w:w="40"/>
              <w:right w:type="dxa" w:w="90"/>
            </w:tcMar>
          </w:tcPr>
          <w:p>
            <w:r>
              <w:t xml:space="preserve">1,695</w:t>
            </w:r>
          </w:p>
        </w:tc>
        <w:tc>
          <w:tcPr>
            <w:tcW w:type="dxa" w:w="2340"/>
            <w:tcMar>
              <w:top w:type="dxa" w:w="40"/>
              <w:left w:type="dxa" w:w="90"/>
              <w:bottom w:type="dxa" w:w="40"/>
              <w:right w:type="dxa" w:w="90"/>
            </w:tcMar>
          </w:tcPr>
          <w:p>
            <w:r>
              <w:t xml:space="preserve">2.8%</w:t>
            </w:r>
          </w:p>
        </w:tc>
        <w:tc>
          <w:tcPr>
            <w:tcW w:type="dxa" w:w="2340"/>
            <w:tcMar>
              <w:top w:type="dxa" w:w="40"/>
              <w:left w:type="dxa" w:w="90"/>
              <w:bottom w:type="dxa" w:w="40"/>
              <w:right w:type="dxa" w:w="90"/>
            </w:tcMar>
          </w:tcPr>
          <w:p>
            <w:r>
              <w:t xml:space="preserve">$49,984</w:t>
            </w:r>
          </w:p>
        </w:tc>
      </w:tr>
    </w:tbl>
    <w:p>
      <w:pPr>
        <w:spacing w:after="120"/>
      </w:pPr>
    </w:p>
    <w:p>
      <w:pPr>
        <w:spacing w:after="120"/>
      </w:pPr>
      <w:r>
        <w:t xml:space="preserve">Month-to-month customers churn at </w:t>
      </w:r>
      <w:r>
        <w:rPr>
          <w:b/>
          <w:bCs/>
        </w:rPr>
        <w:t xml:space="preserve">42.7%</w:t>
      </w:r>
      <w:r>
        <w:t xml:space="preserve">, roughly </w:t>
      </w:r>
      <w:r>
        <w:rPr>
          <w:b/>
          <w:bCs/>
        </w:rPr>
        <w:t xml:space="preserve">15 times the rate of two-year customers (2.8%).</w:t>
      </w:r>
      <w:r>
        <w:t xml:space="preserve"> They are only 55% of the customer base but produce </w:t>
      </w:r>
      <w:r>
        <w:rPr>
          <w:b/>
          <w:bCs/>
        </w:rPr>
        <w:t xml:space="preserve">88.5% of all churned customers</w:t>
      </w:r>
      <w:r>
        <w:t xml:space="preserve"> and </w:t>
      </w:r>
      <w:r>
        <w:rPr>
          <w:b/>
          <w:bCs/>
        </w:rPr>
        <w:t xml:space="preserve">86.9% of all at-risk revenue.</w:t>
      </w:r>
      <w:r>
        <w:t xml:space="preserve"> This is the master lever: the contract itself, more than any single service or demographic, decides whether a customer stays.</w:t>
      </w:r>
    </w:p>
    <w:p>
      <w:pPr>
        <w:pStyle w:val="Heading3"/>
        <w:spacing w:after="80" w:before="200"/>
      </w:pPr>
      <w:r>
        <w:t xml:space="preserve">2. The first year is where customers are lost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r>
              <w:rPr>
                <w:b/>
                <w:bCs/>
                <w:color w:val="FFFFFF"/>
              </w:rPr>
              <w:t xml:space="preserve">Tenure</w:t>
            </w:r>
          </w:p>
        </w:tc>
        <w:tc>
          <w:tcPr>
            <w:tcW w:type="dxa" w:w="3120"/>
            <w:shd w:fill="1F3864" w:color="auto" w:val="clear"/>
            <w:tcMar>
              <w:top w:type="dxa" w:w="40"/>
              <w:left w:type="dxa" w:w="90"/>
              <w:bottom w:type="dxa" w:w="40"/>
              <w:right w:type="dxa" w:w="90"/>
            </w:tcMar>
          </w:tcPr>
          <w:p>
            <w:r>
              <w:rPr>
                <w:b/>
                <w:bCs/>
                <w:color w:val="FFFFFF"/>
              </w:rPr>
              <w:t xml:space="preserve">Customers</w:t>
            </w:r>
          </w:p>
        </w:tc>
        <w:tc>
          <w:tcPr>
            <w:tcW w:type="dxa" w:w="3120"/>
            <w:shd w:fill="1F3864" w:color="auto" w:val="clear"/>
            <w:tcMar>
              <w:top w:type="dxa" w:w="40"/>
              <w:left w:type="dxa" w:w="90"/>
              <w:bottom w:type="dxa" w:w="40"/>
              <w:right w:type="dxa" w:w="90"/>
            </w:tcMar>
          </w:tcPr>
          <w:p>
            <w:r>
              <w:rPr>
                <w:b/>
                <w:bCs/>
                <w:color w:val="FFFFFF"/>
              </w:rPr>
              <w:t xml:space="preserve">Churn rate</w:t>
            </w:r>
          </w:p>
        </w:tc>
      </w:tr>
      <w:tr>
        <w:trPr>
          <w:tblHeader w:val="false"/>
        </w:trPr>
        <w:tc>
          <w:tcPr>
            <w:tcW w:type="dxa" w:w="3120"/>
            <w:tcMar>
              <w:top w:type="dxa" w:w="40"/>
              <w:left w:type="dxa" w:w="90"/>
              <w:bottom w:type="dxa" w:w="40"/>
              <w:right w:type="dxa" w:w="90"/>
            </w:tcMar>
          </w:tcPr>
          <w:p>
            <w:r>
              <w:rPr>
                <w:b/>
                <w:bCs/>
              </w:rPr>
              <w:t xml:space="preserve">0 to 12 months</w:t>
            </w:r>
          </w:p>
        </w:tc>
        <w:tc>
          <w:tcPr>
            <w:tcW w:type="dxa" w:w="3120"/>
            <w:tcMar>
              <w:top w:type="dxa" w:w="40"/>
              <w:left w:type="dxa" w:w="90"/>
              <w:bottom w:type="dxa" w:w="40"/>
              <w:right w:type="dxa" w:w="90"/>
            </w:tcMar>
          </w:tcPr>
          <w:p>
            <w:r>
              <w:t xml:space="preserve">2,186</w:t>
            </w:r>
          </w:p>
        </w:tc>
        <w:tc>
          <w:tcPr>
            <w:tcW w:type="dxa" w:w="3120"/>
            <w:tcMar>
              <w:top w:type="dxa" w:w="40"/>
              <w:left w:type="dxa" w:w="90"/>
              <w:bottom w:type="dxa" w:w="40"/>
              <w:right w:type="dxa" w:w="90"/>
            </w:tcMar>
          </w:tcPr>
          <w:p>
            <w:r>
              <w:rPr>
                <w:b/>
                <w:bCs/>
              </w:rPr>
              <w:t xml:space="preserve">47.4%</w:t>
            </w:r>
          </w:p>
        </w:tc>
      </w:tr>
      <w:tr>
        <w:trPr>
          <w:tblHeader w:val="false"/>
        </w:trPr>
        <w:tc>
          <w:tcPr>
            <w:tcW w:type="dxa" w:w="3120"/>
            <w:tcMar>
              <w:top w:type="dxa" w:w="40"/>
              <w:left w:type="dxa" w:w="90"/>
              <w:bottom w:type="dxa" w:w="40"/>
              <w:right w:type="dxa" w:w="90"/>
            </w:tcMar>
          </w:tcPr>
          <w:p>
            <w:r>
              <w:t xml:space="preserve">13 to 24 months</w:t>
            </w:r>
          </w:p>
        </w:tc>
        <w:tc>
          <w:tcPr>
            <w:tcW w:type="dxa" w:w="3120"/>
            <w:tcMar>
              <w:top w:type="dxa" w:w="40"/>
              <w:left w:type="dxa" w:w="90"/>
              <w:bottom w:type="dxa" w:w="40"/>
              <w:right w:type="dxa" w:w="90"/>
            </w:tcMar>
          </w:tcPr>
          <w:p>
            <w:r>
              <w:t xml:space="preserve">1,024</w:t>
            </w:r>
          </w:p>
        </w:tc>
        <w:tc>
          <w:tcPr>
            <w:tcW w:type="dxa" w:w="3120"/>
            <w:tcMar>
              <w:top w:type="dxa" w:w="40"/>
              <w:left w:type="dxa" w:w="90"/>
              <w:bottom w:type="dxa" w:w="40"/>
              <w:right w:type="dxa" w:w="90"/>
            </w:tcMar>
          </w:tcPr>
          <w:p>
            <w:r>
              <w:t xml:space="preserve">28.7%</w:t>
            </w:r>
          </w:p>
        </w:tc>
      </w:tr>
      <w:tr>
        <w:trPr>
          <w:tblHeader w:val="false"/>
        </w:trPr>
        <w:tc>
          <w:tcPr>
            <w:tcW w:type="dxa" w:w="3120"/>
            <w:tcMar>
              <w:top w:type="dxa" w:w="40"/>
              <w:left w:type="dxa" w:w="90"/>
              <w:bottom w:type="dxa" w:w="40"/>
              <w:right w:type="dxa" w:w="90"/>
            </w:tcMar>
          </w:tcPr>
          <w:p>
            <w:r>
              <w:t xml:space="preserve">25 to 48 months</w:t>
            </w:r>
          </w:p>
        </w:tc>
        <w:tc>
          <w:tcPr>
            <w:tcW w:type="dxa" w:w="3120"/>
            <w:tcMar>
              <w:top w:type="dxa" w:w="40"/>
              <w:left w:type="dxa" w:w="90"/>
              <w:bottom w:type="dxa" w:w="40"/>
              <w:right w:type="dxa" w:w="90"/>
            </w:tcMar>
          </w:tcPr>
          <w:p>
            <w:r>
              <w:t xml:space="preserve">1,594</w:t>
            </w:r>
          </w:p>
        </w:tc>
        <w:tc>
          <w:tcPr>
            <w:tcW w:type="dxa" w:w="3120"/>
            <w:tcMar>
              <w:top w:type="dxa" w:w="40"/>
              <w:left w:type="dxa" w:w="90"/>
              <w:bottom w:type="dxa" w:w="40"/>
              <w:right w:type="dxa" w:w="90"/>
            </w:tcMar>
          </w:tcPr>
          <w:p>
            <w:r>
              <w:t xml:space="preserve">20.4%</w:t>
            </w:r>
          </w:p>
        </w:tc>
      </w:tr>
      <w:tr>
        <w:trPr>
          <w:tblHeader w:val="false"/>
        </w:trPr>
        <w:tc>
          <w:tcPr>
            <w:tcW w:type="dxa" w:w="3120"/>
            <w:tcMar>
              <w:top w:type="dxa" w:w="40"/>
              <w:left w:type="dxa" w:w="90"/>
              <w:bottom w:type="dxa" w:w="40"/>
              <w:right w:type="dxa" w:w="90"/>
            </w:tcMar>
          </w:tcPr>
          <w:p>
            <w:r>
              <w:t xml:space="preserve">49 to 72 months</w:t>
            </w:r>
          </w:p>
        </w:tc>
        <w:tc>
          <w:tcPr>
            <w:tcW w:type="dxa" w:w="3120"/>
            <w:tcMar>
              <w:top w:type="dxa" w:w="40"/>
              <w:left w:type="dxa" w:w="90"/>
              <w:bottom w:type="dxa" w:w="40"/>
              <w:right w:type="dxa" w:w="90"/>
            </w:tcMar>
          </w:tcPr>
          <w:p>
            <w:r>
              <w:t xml:space="preserve">2,239</w:t>
            </w:r>
          </w:p>
        </w:tc>
        <w:tc>
          <w:tcPr>
            <w:tcW w:type="dxa" w:w="3120"/>
            <w:tcMar>
              <w:top w:type="dxa" w:w="40"/>
              <w:left w:type="dxa" w:w="90"/>
              <w:bottom w:type="dxa" w:w="40"/>
              <w:right w:type="dxa" w:w="90"/>
            </w:tcMar>
          </w:tcPr>
          <w:p>
            <w:r>
              <w:t xml:space="preserve">9.5%</w:t>
            </w:r>
          </w:p>
        </w:tc>
      </w:tr>
    </w:tbl>
    <w:p>
      <w:pPr>
        <w:spacing w:after="120"/>
      </w:pPr>
    </w:p>
    <w:p>
      <w:pPr>
        <w:spacing w:after="120"/>
      </w:pPr>
      <w:r>
        <w:t xml:space="preserve">Nearly half of all first-year customers leave. Churn then falls steadily with tenure: a customer who reaches four-plus years churns at just 9.5%, a 5x improvement. The implication is clear. The retention battle is won or lost in the first 12 months, and customers who survive year one become the most loyal cohort on the books.</w:t>
      </w:r>
    </w:p>
    <w:p>
      <w:pPr>
        <w:pStyle w:val="Heading3"/>
        <w:spacing w:after="80" w:before="200"/>
      </w:pPr>
      <w:r>
        <w:t xml:space="preserve">3. Fiber-optic customers churn most, a value-perception red flag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r>
              <w:rPr>
                <w:b/>
                <w:bCs/>
                <w:color w:val="FFFFFF"/>
              </w:rPr>
              <w:t xml:space="preserve">Internet service</w:t>
            </w:r>
          </w:p>
        </w:tc>
        <w:tc>
          <w:tcPr>
            <w:tcW w:type="dxa" w:w="3120"/>
            <w:shd w:fill="1F3864" w:color="auto" w:val="clear"/>
            <w:tcMar>
              <w:top w:type="dxa" w:w="40"/>
              <w:left w:type="dxa" w:w="90"/>
              <w:bottom w:type="dxa" w:w="40"/>
              <w:right w:type="dxa" w:w="90"/>
            </w:tcMar>
          </w:tcPr>
          <w:p>
            <w:r>
              <w:rPr>
                <w:b/>
                <w:bCs/>
                <w:color w:val="FFFFFF"/>
              </w:rPr>
              <w:t xml:space="preserve">Customers</w:t>
            </w:r>
          </w:p>
        </w:tc>
        <w:tc>
          <w:tcPr>
            <w:tcW w:type="dxa" w:w="3120"/>
            <w:shd w:fill="1F3864" w:color="auto" w:val="clear"/>
            <w:tcMar>
              <w:top w:type="dxa" w:w="40"/>
              <w:left w:type="dxa" w:w="90"/>
              <w:bottom w:type="dxa" w:w="40"/>
              <w:right w:type="dxa" w:w="90"/>
            </w:tcMar>
          </w:tcPr>
          <w:p>
            <w:r>
              <w:rPr>
                <w:b/>
                <w:bCs/>
                <w:color w:val="FFFFFF"/>
              </w:rPr>
              <w:t xml:space="preserve">Churn rate</w:t>
            </w:r>
          </w:p>
        </w:tc>
      </w:tr>
      <w:tr>
        <w:trPr>
          <w:tblHeader w:val="false"/>
        </w:trPr>
        <w:tc>
          <w:tcPr>
            <w:tcW w:type="dxa" w:w="3120"/>
            <w:tcMar>
              <w:top w:type="dxa" w:w="40"/>
              <w:left w:type="dxa" w:w="90"/>
              <w:bottom w:type="dxa" w:w="40"/>
              <w:right w:type="dxa" w:w="90"/>
            </w:tcMar>
          </w:tcPr>
          <w:p>
            <w:r>
              <w:rPr>
                <w:b/>
                <w:bCs/>
              </w:rPr>
              <w:t xml:space="preserve">Fiber optic</w:t>
            </w:r>
          </w:p>
        </w:tc>
        <w:tc>
          <w:tcPr>
            <w:tcW w:type="dxa" w:w="3120"/>
            <w:tcMar>
              <w:top w:type="dxa" w:w="40"/>
              <w:left w:type="dxa" w:w="90"/>
              <w:bottom w:type="dxa" w:w="40"/>
              <w:right w:type="dxa" w:w="90"/>
            </w:tcMar>
          </w:tcPr>
          <w:p>
            <w:r>
              <w:t xml:space="preserve">3,096</w:t>
            </w:r>
          </w:p>
        </w:tc>
        <w:tc>
          <w:tcPr>
            <w:tcW w:type="dxa" w:w="3120"/>
            <w:tcMar>
              <w:top w:type="dxa" w:w="40"/>
              <w:left w:type="dxa" w:w="90"/>
              <w:bottom w:type="dxa" w:w="40"/>
              <w:right w:type="dxa" w:w="90"/>
            </w:tcMar>
          </w:tcPr>
          <w:p>
            <w:r>
              <w:rPr>
                <w:b/>
                <w:bCs/>
              </w:rPr>
              <w:t xml:space="preserve">41.9%</w:t>
            </w:r>
          </w:p>
        </w:tc>
      </w:tr>
      <w:tr>
        <w:trPr>
          <w:tblHeader w:val="false"/>
        </w:trPr>
        <w:tc>
          <w:tcPr>
            <w:tcW w:type="dxa" w:w="3120"/>
            <w:tcMar>
              <w:top w:type="dxa" w:w="40"/>
              <w:left w:type="dxa" w:w="90"/>
              <w:bottom w:type="dxa" w:w="40"/>
              <w:right w:type="dxa" w:w="90"/>
            </w:tcMar>
          </w:tcPr>
          <w:p>
            <w:r>
              <w:t xml:space="preserve">DSL</w:t>
            </w:r>
          </w:p>
        </w:tc>
        <w:tc>
          <w:tcPr>
            <w:tcW w:type="dxa" w:w="3120"/>
            <w:tcMar>
              <w:top w:type="dxa" w:w="40"/>
              <w:left w:type="dxa" w:w="90"/>
              <w:bottom w:type="dxa" w:w="40"/>
              <w:right w:type="dxa" w:w="90"/>
            </w:tcMar>
          </w:tcPr>
          <w:p>
            <w:r>
              <w:t xml:space="preserve">2,421</w:t>
            </w:r>
          </w:p>
        </w:tc>
        <w:tc>
          <w:tcPr>
            <w:tcW w:type="dxa" w:w="3120"/>
            <w:tcMar>
              <w:top w:type="dxa" w:w="40"/>
              <w:left w:type="dxa" w:w="90"/>
              <w:bottom w:type="dxa" w:w="40"/>
              <w:right w:type="dxa" w:w="90"/>
            </w:tcMar>
          </w:tcPr>
          <w:p>
            <w:r>
              <w:t xml:space="preserve">19.0%</w:t>
            </w:r>
          </w:p>
        </w:tc>
      </w:tr>
      <w:tr>
        <w:trPr>
          <w:tblHeader w:val="false"/>
        </w:trPr>
        <w:tc>
          <w:tcPr>
            <w:tcW w:type="dxa" w:w="3120"/>
            <w:tcMar>
              <w:top w:type="dxa" w:w="40"/>
              <w:left w:type="dxa" w:w="90"/>
              <w:bottom w:type="dxa" w:w="40"/>
              <w:right w:type="dxa" w:w="90"/>
            </w:tcMar>
          </w:tcPr>
          <w:p>
            <w:r>
              <w:t xml:space="preserve">No internet</w:t>
            </w:r>
          </w:p>
        </w:tc>
        <w:tc>
          <w:tcPr>
            <w:tcW w:type="dxa" w:w="3120"/>
            <w:tcMar>
              <w:top w:type="dxa" w:w="40"/>
              <w:left w:type="dxa" w:w="90"/>
              <w:bottom w:type="dxa" w:w="40"/>
              <w:right w:type="dxa" w:w="90"/>
            </w:tcMar>
          </w:tcPr>
          <w:p>
            <w:r>
              <w:t xml:space="preserve">1,526</w:t>
            </w:r>
          </w:p>
        </w:tc>
        <w:tc>
          <w:tcPr>
            <w:tcW w:type="dxa" w:w="3120"/>
            <w:tcMar>
              <w:top w:type="dxa" w:w="40"/>
              <w:left w:type="dxa" w:w="90"/>
              <w:bottom w:type="dxa" w:w="40"/>
              <w:right w:type="dxa" w:w="90"/>
            </w:tcMar>
          </w:tcPr>
          <w:p>
            <w:r>
              <w:t xml:space="preserve">7.4%</w:t>
            </w:r>
          </w:p>
        </w:tc>
      </w:tr>
    </w:tbl>
    <w:p>
      <w:pPr>
        <w:spacing w:after="120"/>
      </w:pPr>
    </w:p>
    <w:p>
      <w:pPr>
        <w:spacing w:after="120"/>
      </w:pPr>
      <w:r>
        <w:t xml:space="preserve">The premium product has the worst retention. Fiber churns at more than double the DSL rate. When customers paying the most leave the fastest, it signals a price-to-value mismatch: expectations set by a premium tier that the experience (reliability, support, or price) is not meeting.</w:t>
      </w:r>
    </w:p>
    <w:p>
      <w:pPr>
        <w:pStyle w:val="Heading3"/>
        <w:spacing w:after="80" w:before="200"/>
      </w:pPr>
      <w:r>
        <w:t xml:space="preserve">4. Electronic check is a churn signal in disguise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r>
              <w:rPr>
                <w:b/>
                <w:bCs/>
                <w:color w:val="FFFFFF"/>
              </w:rPr>
              <w:t xml:space="preserve">Payment method</w:t>
            </w:r>
          </w:p>
        </w:tc>
        <w:tc>
          <w:tcPr>
            <w:tcW w:type="dxa" w:w="3120"/>
            <w:shd w:fill="1F3864" w:color="auto" w:val="clear"/>
            <w:tcMar>
              <w:top w:type="dxa" w:w="40"/>
              <w:left w:type="dxa" w:w="90"/>
              <w:bottom w:type="dxa" w:w="40"/>
              <w:right w:type="dxa" w:w="90"/>
            </w:tcMar>
          </w:tcPr>
          <w:p>
            <w:r>
              <w:rPr>
                <w:b/>
                <w:bCs/>
                <w:color w:val="FFFFFF"/>
              </w:rPr>
              <w:t xml:space="preserve">Customers</w:t>
            </w:r>
          </w:p>
        </w:tc>
        <w:tc>
          <w:tcPr>
            <w:tcW w:type="dxa" w:w="3120"/>
            <w:shd w:fill="1F3864" w:color="auto" w:val="clear"/>
            <w:tcMar>
              <w:top w:type="dxa" w:w="40"/>
              <w:left w:type="dxa" w:w="90"/>
              <w:bottom w:type="dxa" w:w="40"/>
              <w:right w:type="dxa" w:w="90"/>
            </w:tcMar>
          </w:tcPr>
          <w:p>
            <w:r>
              <w:rPr>
                <w:b/>
                <w:bCs/>
                <w:color w:val="FFFFFF"/>
              </w:rPr>
              <w:t xml:space="preserve">Churn rate</w:t>
            </w:r>
          </w:p>
        </w:tc>
      </w:tr>
      <w:tr>
        <w:trPr>
          <w:tblHeader w:val="false"/>
        </w:trPr>
        <w:tc>
          <w:tcPr>
            <w:tcW w:type="dxa" w:w="3120"/>
            <w:tcMar>
              <w:top w:type="dxa" w:w="40"/>
              <w:left w:type="dxa" w:w="90"/>
              <w:bottom w:type="dxa" w:w="40"/>
              <w:right w:type="dxa" w:w="90"/>
            </w:tcMar>
          </w:tcPr>
          <w:p>
            <w:r>
              <w:rPr>
                <w:b/>
                <w:bCs/>
              </w:rPr>
              <w:t xml:space="preserve">Electronic check</w:t>
            </w:r>
          </w:p>
        </w:tc>
        <w:tc>
          <w:tcPr>
            <w:tcW w:type="dxa" w:w="3120"/>
            <w:tcMar>
              <w:top w:type="dxa" w:w="40"/>
              <w:left w:type="dxa" w:w="90"/>
              <w:bottom w:type="dxa" w:w="40"/>
              <w:right w:type="dxa" w:w="90"/>
            </w:tcMar>
          </w:tcPr>
          <w:p>
            <w:r>
              <w:t xml:space="preserve">2,365</w:t>
            </w:r>
          </w:p>
        </w:tc>
        <w:tc>
          <w:tcPr>
            <w:tcW w:type="dxa" w:w="3120"/>
            <w:tcMar>
              <w:top w:type="dxa" w:w="40"/>
              <w:left w:type="dxa" w:w="90"/>
              <w:bottom w:type="dxa" w:w="40"/>
              <w:right w:type="dxa" w:w="90"/>
            </w:tcMar>
          </w:tcPr>
          <w:p>
            <w:r>
              <w:rPr>
                <w:b/>
                <w:bCs/>
              </w:rPr>
              <w:t xml:space="preserve">45.3%</w:t>
            </w:r>
          </w:p>
        </w:tc>
      </w:tr>
      <w:tr>
        <w:trPr>
          <w:tblHeader w:val="false"/>
        </w:trPr>
        <w:tc>
          <w:tcPr>
            <w:tcW w:type="dxa" w:w="3120"/>
            <w:tcMar>
              <w:top w:type="dxa" w:w="40"/>
              <w:left w:type="dxa" w:w="90"/>
              <w:bottom w:type="dxa" w:w="40"/>
              <w:right w:type="dxa" w:w="90"/>
            </w:tcMar>
          </w:tcPr>
          <w:p>
            <w:r>
              <w:t xml:space="preserve">Mailed check</w:t>
            </w:r>
          </w:p>
        </w:tc>
        <w:tc>
          <w:tcPr>
            <w:tcW w:type="dxa" w:w="3120"/>
            <w:tcMar>
              <w:top w:type="dxa" w:w="40"/>
              <w:left w:type="dxa" w:w="90"/>
              <w:bottom w:type="dxa" w:w="40"/>
              <w:right w:type="dxa" w:w="90"/>
            </w:tcMar>
          </w:tcPr>
          <w:p>
            <w:r>
              <w:t xml:space="preserve">1,612</w:t>
            </w:r>
          </w:p>
        </w:tc>
        <w:tc>
          <w:tcPr>
            <w:tcW w:type="dxa" w:w="3120"/>
            <w:tcMar>
              <w:top w:type="dxa" w:w="40"/>
              <w:left w:type="dxa" w:w="90"/>
              <w:bottom w:type="dxa" w:w="40"/>
              <w:right w:type="dxa" w:w="90"/>
            </w:tcMar>
          </w:tcPr>
          <w:p>
            <w:r>
              <w:t xml:space="preserve">19.1%</w:t>
            </w:r>
          </w:p>
        </w:tc>
      </w:tr>
      <w:tr>
        <w:trPr>
          <w:tblHeader w:val="false"/>
        </w:trPr>
        <w:tc>
          <w:tcPr>
            <w:tcW w:type="dxa" w:w="3120"/>
            <w:tcMar>
              <w:top w:type="dxa" w:w="40"/>
              <w:left w:type="dxa" w:w="90"/>
              <w:bottom w:type="dxa" w:w="40"/>
              <w:right w:type="dxa" w:w="90"/>
            </w:tcMar>
          </w:tcPr>
          <w:p>
            <w:r>
              <w:t xml:space="preserve">Bank transfer (automatic)</w:t>
            </w:r>
          </w:p>
        </w:tc>
        <w:tc>
          <w:tcPr>
            <w:tcW w:type="dxa" w:w="3120"/>
            <w:tcMar>
              <w:top w:type="dxa" w:w="40"/>
              <w:left w:type="dxa" w:w="90"/>
              <w:bottom w:type="dxa" w:w="40"/>
              <w:right w:type="dxa" w:w="90"/>
            </w:tcMar>
          </w:tcPr>
          <w:p>
            <w:r>
              <w:t xml:space="preserve">1,544</w:t>
            </w:r>
          </w:p>
        </w:tc>
        <w:tc>
          <w:tcPr>
            <w:tcW w:type="dxa" w:w="3120"/>
            <w:tcMar>
              <w:top w:type="dxa" w:w="40"/>
              <w:left w:type="dxa" w:w="90"/>
              <w:bottom w:type="dxa" w:w="40"/>
              <w:right w:type="dxa" w:w="90"/>
            </w:tcMar>
          </w:tcPr>
          <w:p>
            <w:r>
              <w:t xml:space="preserve">16.7%</w:t>
            </w:r>
          </w:p>
        </w:tc>
      </w:tr>
      <w:tr>
        <w:trPr>
          <w:tblHeader w:val="false"/>
        </w:trPr>
        <w:tc>
          <w:tcPr>
            <w:tcW w:type="dxa" w:w="3120"/>
            <w:tcMar>
              <w:top w:type="dxa" w:w="40"/>
              <w:left w:type="dxa" w:w="90"/>
              <w:bottom w:type="dxa" w:w="40"/>
              <w:right w:type="dxa" w:w="90"/>
            </w:tcMar>
          </w:tcPr>
          <w:p>
            <w:r>
              <w:t xml:space="preserve">Credit card (automatic)</w:t>
            </w:r>
          </w:p>
        </w:tc>
        <w:tc>
          <w:tcPr>
            <w:tcW w:type="dxa" w:w="3120"/>
            <w:tcMar>
              <w:top w:type="dxa" w:w="40"/>
              <w:left w:type="dxa" w:w="90"/>
              <w:bottom w:type="dxa" w:w="40"/>
              <w:right w:type="dxa" w:w="90"/>
            </w:tcMar>
          </w:tcPr>
          <w:p>
            <w:r>
              <w:t xml:space="preserve">1,522</w:t>
            </w:r>
          </w:p>
        </w:tc>
        <w:tc>
          <w:tcPr>
            <w:tcW w:type="dxa" w:w="3120"/>
            <w:tcMar>
              <w:top w:type="dxa" w:w="40"/>
              <w:left w:type="dxa" w:w="90"/>
              <w:bottom w:type="dxa" w:w="40"/>
              <w:right w:type="dxa" w:w="90"/>
            </w:tcMar>
          </w:tcPr>
          <w:p>
            <w:r>
              <w:t xml:space="preserve">15.2%</w:t>
            </w:r>
          </w:p>
        </w:tc>
      </w:tr>
    </w:tbl>
    <w:p>
      <w:pPr>
        <w:spacing w:after="120"/>
      </w:pPr>
    </w:p>
    <w:p>
      <w:pPr>
        <w:spacing w:after="120"/>
      </w:pPr>
      <w:r>
        <w:t xml:space="preserve">Electronic-check customers churn at </w:t>
      </w:r>
      <w:r>
        <w:rPr>
          <w:b/>
          <w:bCs/>
        </w:rPr>
        <w:t xml:space="preserve">45.3%, roughly 3 times the rate of either automatic-payment method.</w:t>
      </w:r>
      <w:r>
        <w:t xml:space="preserve"> Auto-pay is not just a billing convenience; it is a retention mechanism. A customer on auto-pay has to make an active decision to leave, while a customer writing a check each month re-decides to stay every billing cycle.</w:t>
      </w:r>
    </w:p>
    <w:p>
      <w:pPr>
        <w:pBdr>
          <w:bottom w:val="single" w:color="CCCCCC" w:sz="6"/>
        </w:pBdr>
        <w:spacing w:after="120" w:before="80"/>
      </w:pPr>
    </w:p>
    <w:p>
      <w:pPr>
        <w:pStyle w:val="Heading2"/>
        <w:spacing w:after="80" w:before="200"/>
      </w:pPr>
      <w:r>
        <w:t xml:space="preserve">The bullseye: where the money actually is</w:t>
      </w:r>
    </w:p>
    <w:p>
      <w:pPr>
        <w:spacing w:after="120"/>
      </w:pPr>
      <w:r>
        <w:t xml:space="preserve">Slicing all three high-risk traits together (the "money query") ranks every contract, internet, and payment combination by churn rate and revenue exposure: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3864" w:color="auto" w:val="clear"/>
            <w:tcMar>
              <w:top w:type="dxa" w:w="40"/>
              <w:left w:type="dxa" w:w="90"/>
              <w:bottom w:type="dxa" w:w="40"/>
              <w:right w:type="dxa" w:w="90"/>
            </w:tcMar>
          </w:tcPr>
          <w:p>
            <w:r>
              <w:rPr>
                <w:b/>
                <w:bCs/>
                <w:color w:val="FFFFFF"/>
              </w:rPr>
              <w:t xml:space="preserve">Segment</w:t>
            </w:r>
          </w:p>
        </w:tc>
        <w:tc>
          <w:tcPr>
            <w:tcW w:type="dxa" w:w="2340"/>
            <w:shd w:fill="1F3864" w:color="auto" w:val="clear"/>
            <w:tcMar>
              <w:top w:type="dxa" w:w="40"/>
              <w:left w:type="dxa" w:w="90"/>
              <w:bottom w:type="dxa" w:w="40"/>
              <w:right w:type="dxa" w:w="90"/>
            </w:tcMar>
          </w:tcPr>
          <w:p>
            <w:r>
              <w:rPr>
                <w:b/>
                <w:bCs/>
                <w:color w:val="FFFFFF"/>
              </w:rPr>
              <w:t xml:space="preserve">Customers</w:t>
            </w:r>
          </w:p>
        </w:tc>
        <w:tc>
          <w:tcPr>
            <w:tcW w:type="dxa" w:w="2340"/>
            <w:shd w:fill="1F3864" w:color="auto" w:val="clear"/>
            <w:tcMar>
              <w:top w:type="dxa" w:w="40"/>
              <w:left w:type="dxa" w:w="90"/>
              <w:bottom w:type="dxa" w:w="40"/>
              <w:right w:type="dxa" w:w="90"/>
            </w:tcMar>
          </w:tcPr>
          <w:p>
            <w:r>
              <w:rPr>
                <w:b/>
                <w:bCs/>
                <w:color w:val="FFFFFF"/>
              </w:rPr>
              <w:t xml:space="preserve">Churn rate</w:t>
            </w:r>
          </w:p>
        </w:tc>
        <w:tc>
          <w:tcPr>
            <w:tcW w:type="dxa" w:w="2340"/>
            <w:shd w:fill="1F3864" w:color="auto" w:val="clear"/>
            <w:tcMar>
              <w:top w:type="dxa" w:w="40"/>
              <w:left w:type="dxa" w:w="90"/>
              <w:bottom w:type="dxa" w:w="40"/>
              <w:right w:type="dxa" w:w="90"/>
            </w:tcMar>
          </w:tcPr>
          <w:p>
            <w:r>
              <w:rPr>
                <w:b/>
                <w:bCs/>
                <w:color w:val="FFFFFF"/>
              </w:rPr>
              <w:t xml:space="preserve">Annual revenue at risk</w:t>
            </w:r>
          </w:p>
        </w:tc>
      </w:tr>
      <w:tr>
        <w:trPr>
          <w:tblHeader w:val="false"/>
        </w:trPr>
        <w:tc>
          <w:tcPr>
            <w:tcW w:type="dxa" w:w="2340"/>
            <w:tcMar>
              <w:top w:type="dxa" w:w="40"/>
              <w:left w:type="dxa" w:w="90"/>
              <w:bottom w:type="dxa" w:w="40"/>
              <w:right w:type="dxa" w:w="90"/>
            </w:tcMar>
          </w:tcPr>
          <w:p>
            <w:r>
              <w:rPr>
                <w:b/>
                <w:bCs/>
              </w:rPr>
              <w:t xml:space="preserve">Month-to-month, Fiber, Electronic check</w:t>
            </w:r>
          </w:p>
        </w:tc>
        <w:tc>
          <w:tcPr>
            <w:tcW w:type="dxa" w:w="2340"/>
            <w:tcMar>
              <w:top w:type="dxa" w:w="40"/>
              <w:left w:type="dxa" w:w="90"/>
              <w:bottom w:type="dxa" w:w="40"/>
              <w:right w:type="dxa" w:w="90"/>
            </w:tcMar>
          </w:tcPr>
          <w:p>
            <w:r>
              <w:t xml:space="preserve">1,307</w:t>
            </w:r>
          </w:p>
        </w:tc>
        <w:tc>
          <w:tcPr>
            <w:tcW w:type="dxa" w:w="2340"/>
            <w:tcMar>
              <w:top w:type="dxa" w:w="40"/>
              <w:left w:type="dxa" w:w="90"/>
              <w:bottom w:type="dxa" w:w="40"/>
              <w:right w:type="dxa" w:w="90"/>
            </w:tcMar>
          </w:tcPr>
          <w:p>
            <w:r>
              <w:rPr>
                <w:b/>
                <w:bCs/>
              </w:rPr>
              <w:t xml:space="preserve">60.4%</w:t>
            </w:r>
          </w:p>
        </w:tc>
        <w:tc>
          <w:tcPr>
            <w:tcW w:type="dxa" w:w="2340"/>
            <w:tcMar>
              <w:top w:type="dxa" w:w="40"/>
              <w:left w:type="dxa" w:w="90"/>
              <w:bottom w:type="dxa" w:w="40"/>
              <w:right w:type="dxa" w:w="90"/>
            </w:tcMar>
          </w:tcPr>
          <w:p>
            <w:r>
              <w:rPr>
                <w:b/>
                <w:bCs/>
              </w:rPr>
              <w:t xml:space="preserve">$819,378</w:t>
            </w:r>
          </w:p>
        </w:tc>
      </w:tr>
      <w:tr>
        <w:trPr>
          <w:tblHeader w:val="false"/>
        </w:trPr>
        <w:tc>
          <w:tcPr>
            <w:tcW w:type="dxa" w:w="2340"/>
            <w:tcMar>
              <w:top w:type="dxa" w:w="40"/>
              <w:left w:type="dxa" w:w="90"/>
              <w:bottom w:type="dxa" w:w="40"/>
              <w:right w:type="dxa" w:w="90"/>
            </w:tcMar>
          </w:tcPr>
          <w:p>
            <w:r>
              <w:t xml:space="preserve">Month-to-month, Fiber, Mailed check</w:t>
            </w:r>
          </w:p>
        </w:tc>
        <w:tc>
          <w:tcPr>
            <w:tcW w:type="dxa" w:w="2340"/>
            <w:tcMar>
              <w:top w:type="dxa" w:w="40"/>
              <w:left w:type="dxa" w:w="90"/>
              <w:bottom w:type="dxa" w:w="40"/>
              <w:right w:type="dxa" w:w="90"/>
            </w:tcMar>
          </w:tcPr>
          <w:p>
            <w:r>
              <w:t xml:space="preserve">201</w:t>
            </w:r>
          </w:p>
        </w:tc>
        <w:tc>
          <w:tcPr>
            <w:tcW w:type="dxa" w:w="2340"/>
            <w:tcMar>
              <w:top w:type="dxa" w:w="40"/>
              <w:left w:type="dxa" w:w="90"/>
              <w:bottom w:type="dxa" w:w="40"/>
              <w:right w:type="dxa" w:w="90"/>
            </w:tcMar>
          </w:tcPr>
          <w:p>
            <w:r>
              <w:t xml:space="preserve">50.7%</w:t>
            </w:r>
          </w:p>
        </w:tc>
        <w:tc>
          <w:tcPr>
            <w:tcW w:type="dxa" w:w="2340"/>
            <w:tcMar>
              <w:top w:type="dxa" w:w="40"/>
              <w:left w:type="dxa" w:w="90"/>
              <w:bottom w:type="dxa" w:w="40"/>
              <w:right w:type="dxa" w:w="90"/>
            </w:tcMar>
          </w:tcPr>
          <w:p>
            <w:r>
              <w:t xml:space="preserve">$100,887</w:t>
            </w:r>
          </w:p>
        </w:tc>
      </w:tr>
      <w:tr>
        <w:trPr>
          <w:tblHeader w:val="false"/>
        </w:trPr>
        <w:tc>
          <w:tcPr>
            <w:tcW w:type="dxa" w:w="2340"/>
            <w:tcMar>
              <w:top w:type="dxa" w:w="40"/>
              <w:left w:type="dxa" w:w="90"/>
              <w:bottom w:type="dxa" w:w="40"/>
              <w:right w:type="dxa" w:w="90"/>
            </w:tcMar>
          </w:tcPr>
          <w:p>
            <w:r>
              <w:t xml:space="preserve">Month-to-month, Fiber, Bank transfer</w:t>
            </w:r>
          </w:p>
        </w:tc>
        <w:tc>
          <w:tcPr>
            <w:tcW w:type="dxa" w:w="2340"/>
            <w:tcMar>
              <w:top w:type="dxa" w:w="40"/>
              <w:left w:type="dxa" w:w="90"/>
              <w:bottom w:type="dxa" w:w="40"/>
              <w:right w:type="dxa" w:w="90"/>
            </w:tcMar>
          </w:tcPr>
          <w:p>
            <w:r>
              <w:t xml:space="preserve">327</w:t>
            </w:r>
          </w:p>
        </w:tc>
        <w:tc>
          <w:tcPr>
            <w:tcW w:type="dxa" w:w="2340"/>
            <w:tcMar>
              <w:top w:type="dxa" w:w="40"/>
              <w:left w:type="dxa" w:w="90"/>
              <w:bottom w:type="dxa" w:w="40"/>
              <w:right w:type="dxa" w:w="90"/>
            </w:tcMar>
          </w:tcPr>
          <w:p>
            <w:r>
              <w:t xml:space="preserve">45.6%</w:t>
            </w:r>
          </w:p>
        </w:tc>
        <w:tc>
          <w:tcPr>
            <w:tcW w:type="dxa" w:w="2340"/>
            <w:tcMar>
              <w:top w:type="dxa" w:w="40"/>
              <w:left w:type="dxa" w:w="90"/>
              <w:bottom w:type="dxa" w:w="40"/>
              <w:right w:type="dxa" w:w="90"/>
            </w:tcMar>
          </w:tcPr>
          <w:p>
            <w:r>
              <w:t xml:space="preserve">$156,745</w:t>
            </w:r>
          </w:p>
        </w:tc>
      </w:tr>
      <w:tr>
        <w:trPr>
          <w:tblHeader w:val="false"/>
        </w:trPr>
        <w:tc>
          <w:tcPr>
            <w:tcW w:type="dxa" w:w="2340"/>
            <w:tcMar>
              <w:top w:type="dxa" w:w="40"/>
              <w:left w:type="dxa" w:w="90"/>
              <w:bottom w:type="dxa" w:w="40"/>
              <w:right w:type="dxa" w:w="90"/>
            </w:tcMar>
          </w:tcPr>
          <w:p>
            <w:r>
              <w:t xml:space="preserve">Month-to-month, Fiber, Credit card</w:t>
            </w:r>
          </w:p>
        </w:tc>
        <w:tc>
          <w:tcPr>
            <w:tcW w:type="dxa" w:w="2340"/>
            <w:tcMar>
              <w:top w:type="dxa" w:w="40"/>
              <w:left w:type="dxa" w:w="90"/>
              <w:bottom w:type="dxa" w:w="40"/>
              <w:right w:type="dxa" w:w="90"/>
            </w:tcMar>
          </w:tcPr>
          <w:p>
            <w:r>
              <w:t xml:space="preserve">293</w:t>
            </w:r>
          </w:p>
        </w:tc>
        <w:tc>
          <w:tcPr>
            <w:tcW w:type="dxa" w:w="2340"/>
            <w:tcMar>
              <w:top w:type="dxa" w:w="40"/>
              <w:left w:type="dxa" w:w="90"/>
              <w:bottom w:type="dxa" w:w="40"/>
              <w:right w:type="dxa" w:w="90"/>
            </w:tcMar>
          </w:tcPr>
          <w:p>
            <w:r>
              <w:t xml:space="preserve">41.6%</w:t>
            </w:r>
          </w:p>
        </w:tc>
        <w:tc>
          <w:tcPr>
            <w:tcW w:type="dxa" w:w="2340"/>
            <w:tcMar>
              <w:top w:type="dxa" w:w="40"/>
              <w:left w:type="dxa" w:w="90"/>
              <w:bottom w:type="dxa" w:w="40"/>
              <w:right w:type="dxa" w:w="90"/>
            </w:tcMar>
          </w:tcPr>
          <w:p>
            <w:r>
              <w:t xml:space="preserve">$128,774</w:t>
            </w:r>
          </w:p>
        </w:tc>
      </w:tr>
    </w:tbl>
    <w:p>
      <w:pPr>
        <w:spacing w:after="120"/>
      </w:pPr>
    </w:p>
    <w:p>
      <w:pPr>
        <w:spacing w:after="120"/>
      </w:pPr>
      <w:r>
        <w:t xml:space="preserve">The top segment alone, 1,307 customers churning at 60.4%, represents </w:t>
      </w:r>
      <w:r>
        <w:rPr>
          <w:b/>
          <w:bCs/>
        </w:rPr>
        <w:t xml:space="preserve">$819,378, or 49% of all at-risk revenue.</w:t>
      </w:r>
      <w:r>
        <w:t xml:space="preserve"> Expand to all four month-to-month plus fiber segments and you capture roughly </w:t>
      </w:r>
      <w:r>
        <w:rPr>
          <w:b/>
          <w:bCs/>
        </w:rPr>
        <w:t xml:space="preserve">$1.2M, about 72% of total at-risk revenue, inside about 2,100 customers.</w:t>
      </w:r>
      <w:r>
        <w:t xml:space="preserve"> The entire retention problem lives in under 30% of the customer base.</w:t>
      </w:r>
    </w:p>
    <w:p>
      <w:pPr>
        <w:pBdr>
          <w:bottom w:val="single" w:color="CCCCCC" w:sz="6"/>
        </w:pBdr>
        <w:spacing w:after="120" w:before="80"/>
      </w:pPr>
    </w:p>
    <w:p>
      <w:pPr>
        <w:pStyle w:val="Heading2"/>
        <w:spacing w:after="80" w:before="200"/>
      </w:pPr>
      <w:r>
        <w:t xml:space="preserve">Recommendations</w:t>
      </w:r>
    </w:p>
    <w:p>
      <w:pPr>
        <w:spacing w:after="120"/>
      </w:pPr>
      <w:r>
        <w:t xml:space="preserve">Each recommendation targets a driver above, ordered by revenue impact. Impact figures are illustrative models based on the verified churn rates, meant to size the prize, not to forecast.</w:t>
      </w:r>
    </w:p>
    <w:p>
      <w:pPr>
        <w:pStyle w:val="Heading3"/>
        <w:spacing w:after="80" w:before="200"/>
      </w:pPr>
      <w:r>
        <w:t xml:space="preserve">1. Convert month-to-month customers to annual contracts (largest lever)</w:t>
      </w:r>
    </w:p>
    <w:p>
      <w:pPr>
        <w:spacing w:after="120"/>
      </w:pPr>
      <w:r>
        <w:t xml:space="preserve">Month-to-month churns at 42.7%, one year at 11.3%, two year at 2.8%. Moving a customer off month-to-month is the single highest-impact action available. Offer a targeted incentive (a discount, a bill credit, or a hardware perk) to convert month-to-month fiber customers to a 12-month term. Illustratively, converting just 10% of the 3,875 month-to-month customers to annual terms protects roughly $130K to $150K in annual revenue at the observed rate differential.</w:t>
      </w:r>
    </w:p>
    <w:p>
      <w:pPr>
        <w:pStyle w:val="Heading3"/>
        <w:spacing w:after="80" w:before="200"/>
      </w:pPr>
      <w:r>
        <w:t xml:space="preserve">2. Drive auto-pay enrollment, starting with electronic-check customers</w:t>
      </w:r>
    </w:p>
    <w:p>
      <w:pPr>
        <w:spacing w:after="120"/>
      </w:pPr>
      <w:r>
        <w:t xml:space="preserve">Electronic check churns at 45.3% versus about 15% to 17% for auto-pay. Run an enrollment campaign (a small one-time credit for switching to bank transfer or card auto-pay) aimed first at the 2,365 electronic-check customers. This is a low-cost, high-leverage move: it removes the monthly re-decision moment that drives churn.</w:t>
      </w:r>
    </w:p>
    <w:p>
      <w:pPr>
        <w:pStyle w:val="Heading3"/>
        <w:spacing w:after="80" w:before="200"/>
      </w:pPr>
      <w:r>
        <w:t xml:space="preserve">3. Build a first-year onboarding and retention program</w:t>
      </w:r>
    </w:p>
    <w:p>
      <w:pPr>
        <w:spacing w:after="120"/>
      </w:pPr>
      <w:r>
        <w:t xml:space="preserve">With 47.4% first-year churn, a structured onboarding sequence (proactive check-ins at 30, 60, and 90 days, early value reinforcement, and a first-anniversary retention offer) targets the cohort where nearly half of all loss occurs. Every customer moved past year one joins the 9.5%-churn loyal base.</w:t>
      </w:r>
    </w:p>
    <w:p>
      <w:pPr>
        <w:pStyle w:val="Heading3"/>
        <w:spacing w:after="80" w:before="200"/>
      </w:pPr>
      <w:r>
        <w:t xml:space="preserve">4. Investigate the fiber value gap</w:t>
      </w:r>
    </w:p>
    <w:p>
      <w:pPr>
        <w:spacing w:after="120"/>
      </w:pPr>
      <w:r>
        <w:t xml:space="preserve">Fiber's 41.9% churn on a premium product is a signal to diagnose, not just discount. Review fiber pricing, reliability, and support experience against customer expectations. If the premium tier is not delivering premium value, no retention offer will hold these customers long-term.</w:t>
      </w:r>
    </w:p>
    <w:p>
      <w:pPr>
        <w:pBdr>
          <w:bottom w:val="single" w:color="CCCCCC" w:sz="6"/>
        </w:pBdr>
        <w:spacing w:after="120" w:before="80"/>
      </w:pPr>
    </w:p>
    <w:p>
      <w:pPr>
        <w:pStyle w:val="Heading2"/>
        <w:spacing w:after="80" w:before="200"/>
      </w:pPr>
      <w:r>
        <w:t xml:space="preserve">What success looks like</w:t>
      </w:r>
    </w:p>
    <w:p>
      <w:pPr>
        <w:spacing w:after="120"/>
      </w:pPr>
      <w:r>
        <w:t xml:space="preserve">The concentration of churn is the opportunity. Because 72% of at-risk revenue sits in about 2,100 identifiable customers, retention spend can be aimed with precision rather than sprayed across the base. A focused program hitting the month-to-month, fiber, electronic-check core (contract conversion first, auto-pay second, onboarding third) targets $1.2M of the $1.67M at risk with a known, named audience.</w:t>
      </w:r>
    </w:p>
    <w:p>
      <w:pPr>
        <w:pBdr>
          <w:bottom w:val="single" w:color="CCCCCC" w:sz="6"/>
        </w:pBdr>
        <w:spacing w:after="120" w:before="80"/>
      </w:pPr>
    </w:p>
    <w:p>
      <w:pPr>
        <w:pStyle w:val="Heading2"/>
        <w:spacing w:after="80" w:before="200"/>
      </w:pPr>
      <w:r>
        <w:t xml:space="preserve">Method note</w:t>
      </w:r>
    </w:p>
    <w:p>
      <w:pPr>
        <w:spacing w:after="120"/>
      </w:pPr>
      <w:r>
        <w:t xml:space="preserve">All figures were produced in BigQuery from the raw IBM Telco Customer Churn dataset (7,043 rows). The one real data-quality issue (11 new customers with tenure of 0 whose </w:t>
      </w:r>
      <w:r>
        <w:rPr>
          <w:rFonts w:ascii="Consolas" w:cs="Consolas" w:eastAsia="Consolas" w:hAnsi="Consolas"/>
        </w:rPr>
        <w:t xml:space="preserve">TotalCharges</w:t>
      </w:r>
      <w:r>
        <w:t xml:space="preserve"> imported as blank strings) was handled with </w:t>
      </w:r>
      <w:r>
        <w:rPr>
          <w:rFonts w:ascii="Consolas" w:cs="Consolas" w:eastAsia="Consolas" w:hAnsi="Consolas"/>
        </w:rPr>
        <w:t xml:space="preserve">SAFE_CAST</w:t>
      </w:r>
      <w:r>
        <w:t xml:space="preserve"> plus </w:t>
      </w:r>
      <w:r>
        <w:rPr>
          <w:rFonts w:ascii="Consolas" w:cs="Consolas" w:eastAsia="Consolas" w:hAnsi="Consolas"/>
        </w:rPr>
        <w:t xml:space="preserve">COALESCE</w:t>
      </w:r>
      <w:r>
        <w:t xml:space="preserve">, and the analytical fields (</w:t>
      </w:r>
      <w:r>
        <w:rPr>
          <w:rFonts w:ascii="Consolas" w:cs="Consolas" w:eastAsia="Consolas" w:hAnsi="Consolas"/>
        </w:rPr>
        <w:t xml:space="preserve">tenure_bucket</w:t>
      </w:r>
      <w:r>
        <w:t xml:space="preserve">, </w:t>
      </w:r>
      <w:r>
        <w:rPr>
          <w:rFonts w:ascii="Consolas" w:cs="Consolas" w:eastAsia="Consolas" w:hAnsi="Consolas"/>
        </w:rPr>
        <w:t xml:space="preserve">churn_flag</w:t>
      </w:r>
      <w:r>
        <w:t xml:space="preserve">) were derived in SQL. Doing the cleaning and the metrics in SQL means every number here re-runs against the raw source and stays consistent across the SQL, the Excel layer, and the dashboard.</w:t>
      </w:r>
    </w:p>
    <w:p>
      <w:pPr>
        <w:spacing w:after="120"/>
      </w:pPr>
      <w:r>
        <w:t xml:space="preserve">Churn rate is computed as </w:t>
      </w:r>
      <w:r>
        <w:rPr>
          <w:rFonts w:ascii="Consolas" w:cs="Consolas" w:eastAsia="Consolas" w:hAnsi="Consolas"/>
        </w:rPr>
        <w:t xml:space="preserve">AVG(churn_flag)</w:t>
      </w:r>
      <w:r>
        <w:t xml:space="preserve">, where </w:t>
      </w:r>
      <w:r>
        <w:rPr>
          <w:rFonts w:ascii="Consolas" w:cs="Consolas" w:eastAsia="Consolas" w:hAnsi="Consolas"/>
        </w:rPr>
        <w:t xml:space="preserve">churn_flag</w:t>
      </w:r>
      <w:r>
        <w:t xml:space="preserve"> equals 1 for churned customers, a shortcut that turns a rate into a single aggregate. Revenue at risk equals churned customers' monthly charges times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2026-09-24T20:03:40.391Z</dcterms:created>
  <dcterms:modified xsi:type="dcterms:W3CDTF">2026-09-24T20:03:40.397Z</dcterms:modified>
</cp:coreProperties>
</file>

<file path=docProps/custom.xml><?xml version="1.0" encoding="utf-8"?>
<Properties xmlns="http://schemas.openxmlformats.org/officeDocument/2006/custom-properties" xmlns:vt="http://schemas.openxmlformats.org/officeDocument/2006/docPropsVTypes"/>
</file>