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hart20.xml" ContentType="application/vnd.openxmlformats-officedocument.drawingml.chart+xml"/>
  <Override PartName="/word/charts/chart30.xml" ContentType="application/vnd.openxmlformats-officedocument.drawingml.chart+xml"/>
  <Override PartName="/word/charts/colors10.xml" ContentType="application/vnd.ms-office.chartcolorstyle+xml"/>
  <Override PartName="/word/charts/style10.xml" ContentType="application/vnd.ms-office.chartstyle+xml"/>
  <Override PartName="/word/charts/colors20.xml" ContentType="application/vnd.ms-office.chartcolorstyle+xml"/>
  <Override PartName="/word/charts/style20.xml" ContentType="application/vnd.ms-office.chartstyle+xml"/>
  <Override PartName="/word/charts/colors30.xml" ContentType="application/vnd.ms-office.chartcolorstyle+xml"/>
  <Override PartName="/word/charts/style30.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C21" w:rsidRDefault="00553C21" w:rsidP="00553C21">
      <w:pPr>
        <w:pStyle w:val="WP2"/>
        <w:rPr>
          <w:rFonts w:ascii="Calibri" w:hAnsi="Calibri"/>
          <w:lang w:val="en-US"/>
        </w:rPr>
      </w:pPr>
      <w:r>
        <w:rPr>
          <w:rFonts w:ascii="Calibri" w:hAnsi="Calibri"/>
        </w:rPr>
        <w:t>WP 2.4 – Data Use and Application</w:t>
      </w:r>
    </w:p>
    <w:p w:rsidR="007A3D84" w:rsidRDefault="007A3D84" w:rsidP="007A3D84">
      <w:pPr>
        <w:pStyle w:val="WP3"/>
        <w:rPr>
          <w:rFonts w:cs="Calibri"/>
          <w:color w:val="365F91"/>
        </w:rPr>
      </w:pPr>
      <w:r>
        <w:rPr>
          <w:rFonts w:cs="Calibri"/>
          <w:color w:val="365F91"/>
        </w:rPr>
        <w:t>Data Loss Automated Check</w:t>
      </w:r>
    </w:p>
    <w:p w:rsidR="007A3D84" w:rsidRDefault="00E51F4C" w:rsidP="00553C21">
      <w:pPr>
        <w:rPr>
          <w:rFonts w:ascii="Calibri" w:hAnsi="Calibri" w:cs="Calibri"/>
        </w:rPr>
      </w:pPr>
      <w:r>
        <w:rPr>
          <w:rFonts w:ascii="Calibri" w:hAnsi="Calibri" w:cs="Calibri"/>
        </w:rPr>
        <w:t xml:space="preserve">A new project focusing on the acquisition of missing occultations </w:t>
      </w:r>
      <w:r w:rsidR="00D42328">
        <w:rPr>
          <w:rFonts w:ascii="Calibri" w:hAnsi="Calibri" w:cs="Calibri"/>
        </w:rPr>
        <w:t>began</w:t>
      </w:r>
      <w:r w:rsidR="00782691">
        <w:rPr>
          <w:rFonts w:ascii="Calibri" w:hAnsi="Calibri" w:cs="Calibri"/>
        </w:rPr>
        <w:t xml:space="preserve"> at the start of the last quarter. The goal of this project was to create an automated framework to detect data loss and analyze which occultations were affected by this missing data, as well as which ground station was attributed based on missing files corresponding to p</w:t>
      </w:r>
      <w:r>
        <w:rPr>
          <w:rFonts w:ascii="Calibri" w:hAnsi="Calibri" w:cs="Calibri"/>
        </w:rPr>
        <w:t xml:space="preserve">lanned ground station contacts. </w:t>
      </w:r>
      <w:r w:rsidR="00D42328">
        <w:rPr>
          <w:rFonts w:ascii="Calibri" w:hAnsi="Calibri" w:cs="Calibri"/>
        </w:rPr>
        <w:t>This will allow the SOC to detect</w:t>
      </w:r>
      <w:r>
        <w:rPr>
          <w:rFonts w:ascii="Calibri" w:hAnsi="Calibri" w:cs="Calibri"/>
        </w:rPr>
        <w:t xml:space="preserve"> missing occultations on a day-to-day </w:t>
      </w:r>
      <w:r w:rsidR="00D42328">
        <w:rPr>
          <w:rFonts w:ascii="Calibri" w:hAnsi="Calibri" w:cs="Calibri"/>
        </w:rPr>
        <w:t>basis while also facilitating the search for missing</w:t>
      </w:r>
      <w:r>
        <w:rPr>
          <w:rFonts w:ascii="Calibri" w:hAnsi="Calibri" w:cs="Calibri"/>
        </w:rPr>
        <w:t xml:space="preserve"> occultations throughout the mission.</w:t>
      </w:r>
    </w:p>
    <w:p w:rsidR="00782691" w:rsidRDefault="00782691" w:rsidP="00553C21">
      <w:pPr>
        <w:rPr>
          <w:rFonts w:ascii="Calibri" w:hAnsi="Calibri" w:cs="Calibri"/>
        </w:rPr>
      </w:pPr>
    </w:p>
    <w:p w:rsidR="00553C21" w:rsidRDefault="00553C21" w:rsidP="00553C21">
      <w:pPr>
        <w:spacing w:before="0" w:line="240" w:lineRule="auto"/>
        <w:rPr>
          <w:rFonts w:ascii="Calibri" w:hAnsi="Calibri" w:cs="Calibri"/>
          <w:b/>
          <w:bCs/>
          <w:szCs w:val="22"/>
        </w:rPr>
      </w:pPr>
      <w:r>
        <w:br w:type="page"/>
      </w:r>
    </w:p>
    <w:p w:rsidR="00553C21" w:rsidRDefault="00553C21" w:rsidP="00553C21">
      <w:pPr>
        <w:pStyle w:val="WP3"/>
        <w:rPr>
          <w:rFonts w:cs="Calibri"/>
          <w:color w:val="365F91"/>
        </w:rPr>
      </w:pPr>
      <w:r>
        <w:rPr>
          <w:rFonts w:cs="Calibri"/>
          <w:color w:val="365F91"/>
        </w:rPr>
        <w:lastRenderedPageBreak/>
        <w:t>Users</w:t>
      </w:r>
    </w:p>
    <w:p w:rsidR="00553C21" w:rsidRDefault="00AB6EAA" w:rsidP="007A745A">
      <w:pPr>
        <w:spacing w:after="240"/>
        <w:rPr>
          <w:rFonts w:ascii="Calibri" w:hAnsi="Calibri" w:cs="Calibri"/>
          <w:lang w:val="en-CA" w:eastAsia="zh-CN"/>
        </w:rPr>
      </w:pPr>
      <w:r>
        <w:rPr>
          <w:rFonts w:ascii="Calibri" w:hAnsi="Calibri" w:cs="Calibri"/>
          <w:lang w:val="en-CA" w:eastAsia="zh-CN"/>
        </w:rPr>
        <w:t>There have been fifteen</w:t>
      </w:r>
      <w:r w:rsidR="00553C21">
        <w:rPr>
          <w:rFonts w:ascii="Calibri" w:hAnsi="Calibri" w:cs="Calibri"/>
          <w:lang w:val="en-CA" w:eastAsia="zh-CN"/>
        </w:rPr>
        <w:t xml:space="preserve"> new data user sign-ups in the quarter, totalling </w:t>
      </w:r>
      <w:r>
        <w:rPr>
          <w:rFonts w:ascii="Calibri" w:hAnsi="Calibri" w:cs="Calibri"/>
          <w:lang w:val="en-CA" w:eastAsia="zh-CN"/>
        </w:rPr>
        <w:t>thirty-five</w:t>
      </w:r>
      <w:r w:rsidR="00553C21">
        <w:rPr>
          <w:rFonts w:ascii="Calibri" w:hAnsi="Calibri" w:cs="Calibri"/>
          <w:lang w:val="en-CA" w:eastAsia="zh-CN"/>
        </w:rPr>
        <w:t xml:space="preserve"> new data users for the past four quarters.  Figure 4 shows the number of data users for th</w:t>
      </w:r>
      <w:r w:rsidR="000C6BD7">
        <w:rPr>
          <w:rFonts w:ascii="Calibri" w:hAnsi="Calibri" w:cs="Calibri"/>
          <w:lang w:val="en-CA" w:eastAsia="zh-CN"/>
        </w:rPr>
        <w:t>e past eight</w:t>
      </w:r>
      <w:r w:rsidR="00553C21">
        <w:rPr>
          <w:rFonts w:ascii="Calibri" w:hAnsi="Calibri" w:cs="Calibri"/>
          <w:lang w:val="en-CA" w:eastAsia="zh-CN"/>
        </w:rPr>
        <w:t xml:space="preserve"> quarters, by quarter.  </w:t>
      </w:r>
      <w:r w:rsidR="00553C21">
        <w:rPr>
          <w:noProof/>
          <w:lang w:val="en-CA" w:eastAsia="en-CA"/>
        </w:rPr>
        <mc:AlternateContent>
          <mc:Choice Requires="wps">
            <w:drawing>
              <wp:anchor distT="0" distB="127000" distL="0" distR="0" simplePos="0" relativeHeight="251661312" behindDoc="0" locked="0" layoutInCell="0" allowOverlap="1">
                <wp:simplePos x="0" y="0"/>
                <wp:positionH relativeFrom="margin">
                  <wp:align>right</wp:align>
                </wp:positionH>
                <wp:positionV relativeFrom="paragraph">
                  <wp:posOffset>172720</wp:posOffset>
                </wp:positionV>
                <wp:extent cx="5905500" cy="3352800"/>
                <wp:effectExtent l="0" t="0" r="19050" b="19050"/>
                <wp:wrapTopAndBottom/>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3352800"/>
                        </a:xfrm>
                        <a:prstGeom prst="rect">
                          <a:avLst/>
                        </a:prstGeom>
                        <a:solidFill>
                          <a:srgbClr val="FFFFFF"/>
                        </a:solidFill>
                        <a:ln w="9525">
                          <a:solidFill>
                            <a:srgbClr val="000000"/>
                          </a:solidFill>
                          <a:miter lim="800000"/>
                          <a:headEnd/>
                          <a:tailEnd/>
                        </a:ln>
                      </wps:spPr>
                      <wps:txbx>
                        <w:txbxContent>
                          <w:p w:rsidR="00553C21" w:rsidRDefault="00553C21" w:rsidP="00553C21">
                            <w:pPr>
                              <w:pStyle w:val="Drawing"/>
                              <w:jc w:val="center"/>
                              <w:rPr>
                                <w:iCs w:val="0"/>
                                <w:sz w:val="21"/>
                              </w:rPr>
                            </w:pPr>
                            <w:r>
                              <w:rPr>
                                <w:noProof/>
                              </w:rPr>
                              <w:t xml:space="preserve"> </w:t>
                            </w:r>
                            <w:r w:rsidR="00CA004A">
                              <w:rPr>
                                <w:noProof/>
                                <w:lang w:val="en-CA" w:eastAsia="en-CA"/>
                              </w:rPr>
                              <w:drawing>
                                <wp:inline distT="0" distB="0" distL="0" distR="0" wp14:anchorId="69C808C2" wp14:editId="6B00A32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53C21" w:rsidRDefault="00553C21" w:rsidP="00AB6EAA">
                            <w:pPr>
                              <w:pStyle w:val="Caption"/>
                              <w:jc w:val="center"/>
                              <w:rPr>
                                <w:iCs w:val="0"/>
                                <w:sz w:val="20"/>
                                <w:szCs w:val="20"/>
                              </w:rPr>
                            </w:pPr>
                            <w:r>
                              <w:rPr>
                                <w:b/>
                                <w:i w:val="0"/>
                                <w:sz w:val="20"/>
                                <w:szCs w:val="20"/>
                              </w:rPr>
                              <w:t>Figure 4: Number of new data users for the past eight quarters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413.8pt;margin-top:13.6pt;width:465pt;height:264pt;z-index:251661312;visibility:visible;mso-wrap-style:square;mso-width-percent:0;mso-height-percent:0;mso-wrap-distance-left:0;mso-wrap-distance-top:0;mso-wrap-distance-right:0;mso-wrap-distance-bottom:10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" o:allowincell="f">
                <v:textbox inset="0,0,0,0">
                  <w:txbxContent>
                    <w:p w:rsidR="00553C21" w:rsidRDefault="00553C21" w:rsidP="00553C21">
                      <w:pPr>
                        <w:pStyle w:val="Drawing"/>
                        <w:jc w:val="center"/>
                        <w:rPr>
                          <w:iCs w:val="0"/>
                          <w:sz w:val="21"/>
                        </w:rPr>
                      </w:pPr>
                      <w:r>
                        <w:rPr>
                          <w:noProof/>
                        </w:rPr>
                        <w:t xml:space="preserve"> </w:t>
                      </w:r>
                      <w:r w:rsidR="00CA004A">
                        <w:rPr>
                          <w:noProof/>
                          <w:lang w:val="en-CA" w:eastAsia="en-CA"/>
                        </w:rPr>
                        <w:drawing>
                          <wp:inline distT="0" distB="0" distL="0" distR="0" wp14:anchorId="69C808C2" wp14:editId="6B00A32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53C21" w:rsidRDefault="00553C21" w:rsidP="00AB6EAA">
                      <w:pPr>
                        <w:pStyle w:val="Caption"/>
                        <w:jc w:val="center"/>
                        <w:rPr>
                          <w:iCs w:val="0"/>
                          <w:sz w:val="20"/>
                          <w:szCs w:val="20"/>
                        </w:rPr>
                      </w:pPr>
                      <w:r>
                        <w:rPr>
                          <w:b/>
                          <w:i w:val="0"/>
                          <w:sz w:val="20"/>
                          <w:szCs w:val="20"/>
                        </w:rPr>
                        <w:t>Figure 4: Number of new data users for the past eight quarters</w:t>
                      </w:r>
                    </w:p>
                  </w:txbxContent>
                </v:textbox>
                <w10:wrap type="topAndBottom" anchorx="margin"/>
              </v:shape>
            </w:pict>
          </mc:Fallback>
        </mc:AlternateContent>
      </w:r>
      <w:r>
        <w:rPr>
          <w:rFonts w:ascii="Calibri" w:hAnsi="Calibri" w:cs="Calibri"/>
          <w:lang w:val="en-CA" w:eastAsia="zh-CN"/>
        </w:rPr>
        <w:t>The breakdown of new users by country may be found in Table 1.</w:t>
      </w:r>
    </w:p>
    <w:p w:rsidR="00D42328" w:rsidRPr="00D42328" w:rsidRDefault="00D42328" w:rsidP="00D42328">
      <w:pPr>
        <w:pStyle w:val="Caption"/>
        <w:spacing w:before="240"/>
        <w:jc w:val="center"/>
        <w:rPr>
          <w:rFonts w:ascii="Cambria" w:hAnsi="Cambria" w:cstheme="minorBidi"/>
          <w:i w:val="0"/>
          <w:color w:val="auto"/>
          <w:sz w:val="21"/>
          <w:szCs w:val="21"/>
          <w:lang w:val="en-US" w:eastAsia="en-US"/>
        </w:rPr>
      </w:pPr>
      <w:r w:rsidRPr="00C23308">
        <w:rPr>
          <w:color w:val="auto"/>
          <w:sz w:val="21"/>
          <w:szCs w:val="21"/>
        </w:rPr>
        <w:t xml:space="preserve">Table </w:t>
      </w:r>
      <w:r w:rsidRPr="00C23308">
        <w:rPr>
          <w:color w:val="auto"/>
          <w:sz w:val="21"/>
          <w:szCs w:val="21"/>
        </w:rPr>
        <w:fldChar w:fldCharType="begin"/>
      </w:r>
      <w:r w:rsidRPr="00C23308">
        <w:rPr>
          <w:color w:val="auto"/>
          <w:sz w:val="21"/>
          <w:szCs w:val="21"/>
        </w:rPr>
        <w:instrText xml:space="preserve"> SEQ Table \* ARABIC </w:instrText>
      </w:r>
      <w:r w:rsidRPr="00C23308">
        <w:rPr>
          <w:color w:val="auto"/>
          <w:sz w:val="21"/>
          <w:szCs w:val="21"/>
        </w:rPr>
        <w:fldChar w:fldCharType="separate"/>
      </w:r>
      <w:r>
        <w:rPr>
          <w:noProof/>
          <w:color w:val="auto"/>
          <w:sz w:val="21"/>
          <w:szCs w:val="21"/>
        </w:rPr>
        <w:t>1</w:t>
      </w:r>
      <w:r w:rsidRPr="00C23308">
        <w:rPr>
          <w:color w:val="auto"/>
          <w:sz w:val="21"/>
          <w:szCs w:val="21"/>
        </w:rPr>
        <w:fldChar w:fldCharType="end"/>
      </w:r>
      <w:r w:rsidRPr="00C23308">
        <w:rPr>
          <w:rFonts w:ascii="Cambria" w:hAnsi="Cambria" w:cstheme="minorBidi"/>
          <w:color w:val="auto"/>
          <w:sz w:val="21"/>
          <w:szCs w:val="21"/>
          <w:lang w:val="en-US" w:eastAsia="en-US"/>
        </w:rPr>
        <w:t xml:space="preserve">: ACE </w:t>
      </w:r>
      <w:r w:rsidRPr="00C23308">
        <w:rPr>
          <w:rFonts w:ascii="Cambria" w:hAnsi="Cambria" w:cstheme="minorBidi"/>
          <w:i w:val="0"/>
          <w:color w:val="auto"/>
          <w:sz w:val="21"/>
          <w:szCs w:val="21"/>
          <w:lang w:val="en-US" w:eastAsia="en-US"/>
        </w:rPr>
        <w:t>new data users breakdown by country</w:t>
      </w:r>
    </w:p>
    <w:tbl>
      <w:tblPr>
        <w:tblW w:w="2694" w:type="dxa"/>
        <w:jc w:val="center"/>
        <w:tblLook w:val="04A0" w:firstRow="1" w:lastRow="0" w:firstColumn="1" w:lastColumn="0" w:noHBand="0" w:noVBand="1"/>
      </w:tblPr>
      <w:tblGrid>
        <w:gridCol w:w="1418"/>
        <w:gridCol w:w="1276"/>
      </w:tblGrid>
      <w:tr w:rsidR="00AB6EAA" w:rsidRPr="00AB6EAA" w:rsidTr="007A745A">
        <w:trPr>
          <w:trHeight w:val="300"/>
          <w:jc w:val="center"/>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b/>
                <w:bCs/>
                <w:color w:val="000000"/>
                <w:szCs w:val="22"/>
                <w:lang w:val="en-CA" w:eastAsia="en-CA"/>
              </w:rPr>
            </w:pPr>
            <w:r w:rsidRPr="00AB6EAA">
              <w:rPr>
                <w:rFonts w:ascii="Calibri" w:hAnsi="Calibri"/>
                <w:b/>
                <w:bCs/>
                <w:color w:val="000000"/>
                <w:szCs w:val="22"/>
                <w:lang w:val="en-CA" w:eastAsia="en-CA"/>
              </w:rPr>
              <w:t>Country</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b/>
                <w:bCs/>
                <w:color w:val="000000"/>
                <w:szCs w:val="22"/>
                <w:lang w:val="en-CA" w:eastAsia="en-CA"/>
              </w:rPr>
            </w:pPr>
            <w:r w:rsidRPr="00AB6EAA">
              <w:rPr>
                <w:rFonts w:ascii="Calibri" w:hAnsi="Calibri"/>
                <w:b/>
                <w:bCs/>
                <w:color w:val="000000"/>
                <w:szCs w:val="22"/>
                <w:lang w:val="en-CA" w:eastAsia="en-CA"/>
              </w:rPr>
              <w:t>Number of new users</w:t>
            </w:r>
          </w:p>
        </w:tc>
      </w:tr>
      <w:tr w:rsidR="00AB6EAA" w:rsidRPr="00AB6EAA" w:rsidTr="007A745A">
        <w:trPr>
          <w:trHeight w:val="300"/>
          <w:jc w:val="center"/>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Canada</w:t>
            </w:r>
          </w:p>
        </w:tc>
        <w:tc>
          <w:tcPr>
            <w:tcW w:w="1276" w:type="dxa"/>
            <w:tcBorders>
              <w:top w:val="nil"/>
              <w:left w:val="nil"/>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4</w:t>
            </w:r>
          </w:p>
        </w:tc>
      </w:tr>
      <w:tr w:rsidR="00AB6EAA" w:rsidRPr="00AB6EAA" w:rsidTr="007A745A">
        <w:trPr>
          <w:trHeight w:val="300"/>
          <w:jc w:val="center"/>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China</w:t>
            </w:r>
          </w:p>
        </w:tc>
        <w:tc>
          <w:tcPr>
            <w:tcW w:w="1276" w:type="dxa"/>
            <w:tcBorders>
              <w:top w:val="nil"/>
              <w:left w:val="nil"/>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1</w:t>
            </w:r>
          </w:p>
        </w:tc>
      </w:tr>
      <w:tr w:rsidR="00AB6EAA" w:rsidRPr="00AB6EAA" w:rsidTr="007A745A">
        <w:trPr>
          <w:trHeight w:val="300"/>
          <w:jc w:val="center"/>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Ethiopia</w:t>
            </w:r>
          </w:p>
        </w:tc>
        <w:tc>
          <w:tcPr>
            <w:tcW w:w="1276" w:type="dxa"/>
            <w:tcBorders>
              <w:top w:val="nil"/>
              <w:left w:val="nil"/>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1</w:t>
            </w:r>
          </w:p>
        </w:tc>
      </w:tr>
      <w:tr w:rsidR="00AB6EAA" w:rsidRPr="00AB6EAA" w:rsidTr="007A745A">
        <w:trPr>
          <w:trHeight w:val="300"/>
          <w:jc w:val="center"/>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Germany</w:t>
            </w:r>
          </w:p>
        </w:tc>
        <w:tc>
          <w:tcPr>
            <w:tcW w:w="1276" w:type="dxa"/>
            <w:tcBorders>
              <w:top w:val="nil"/>
              <w:left w:val="nil"/>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1</w:t>
            </w:r>
          </w:p>
        </w:tc>
      </w:tr>
      <w:tr w:rsidR="00AB6EAA" w:rsidRPr="00AB6EAA" w:rsidTr="007A745A">
        <w:trPr>
          <w:trHeight w:val="300"/>
          <w:jc w:val="center"/>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Japan</w:t>
            </w:r>
          </w:p>
        </w:tc>
        <w:tc>
          <w:tcPr>
            <w:tcW w:w="1276" w:type="dxa"/>
            <w:tcBorders>
              <w:top w:val="nil"/>
              <w:left w:val="nil"/>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2</w:t>
            </w:r>
          </w:p>
        </w:tc>
      </w:tr>
      <w:tr w:rsidR="00AB6EAA" w:rsidRPr="00AB6EAA" w:rsidTr="007A745A">
        <w:trPr>
          <w:trHeight w:val="300"/>
          <w:jc w:val="center"/>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New Zealand</w:t>
            </w:r>
          </w:p>
        </w:tc>
        <w:tc>
          <w:tcPr>
            <w:tcW w:w="1276" w:type="dxa"/>
            <w:tcBorders>
              <w:top w:val="nil"/>
              <w:left w:val="nil"/>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1</w:t>
            </w:r>
          </w:p>
        </w:tc>
      </w:tr>
      <w:tr w:rsidR="00AB6EAA" w:rsidRPr="00AB6EAA" w:rsidTr="007A745A">
        <w:trPr>
          <w:trHeight w:val="300"/>
          <w:jc w:val="center"/>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USA</w:t>
            </w:r>
          </w:p>
        </w:tc>
        <w:tc>
          <w:tcPr>
            <w:tcW w:w="1276" w:type="dxa"/>
            <w:tcBorders>
              <w:top w:val="nil"/>
              <w:left w:val="nil"/>
              <w:bottom w:val="single" w:sz="4" w:space="0" w:color="auto"/>
              <w:right w:val="single" w:sz="4" w:space="0" w:color="auto"/>
            </w:tcBorders>
            <w:shd w:val="clear" w:color="auto" w:fill="auto"/>
            <w:noWrap/>
            <w:vAlign w:val="bottom"/>
            <w:hideMark/>
          </w:tcPr>
          <w:p w:rsidR="00AB6EAA" w:rsidRPr="00AB6EAA" w:rsidRDefault="00AB6EAA" w:rsidP="00AB6EAA">
            <w:pPr>
              <w:spacing w:before="0" w:line="240" w:lineRule="auto"/>
              <w:jc w:val="center"/>
              <w:rPr>
                <w:rFonts w:ascii="Calibri" w:hAnsi="Calibri"/>
                <w:color w:val="000000"/>
                <w:szCs w:val="22"/>
                <w:lang w:val="en-CA" w:eastAsia="en-CA"/>
              </w:rPr>
            </w:pPr>
            <w:r w:rsidRPr="00AB6EAA">
              <w:rPr>
                <w:rFonts w:ascii="Calibri" w:hAnsi="Calibri"/>
                <w:color w:val="000000"/>
                <w:szCs w:val="22"/>
                <w:lang w:val="en-CA" w:eastAsia="en-CA"/>
              </w:rPr>
              <w:t>5</w:t>
            </w:r>
          </w:p>
        </w:tc>
      </w:tr>
    </w:tbl>
    <w:p w:rsidR="00AB6EAA" w:rsidRDefault="00AB6EAA" w:rsidP="00553C21">
      <w:pPr>
        <w:rPr>
          <w:lang w:val="en-CA" w:eastAsia="zh-CN"/>
        </w:rPr>
      </w:pPr>
    </w:p>
    <w:p w:rsidR="00553C21" w:rsidRDefault="00553C21" w:rsidP="00553C21">
      <w:pPr>
        <w:pStyle w:val="WP3"/>
        <w:rPr>
          <w:rFonts w:cs="Calibri"/>
          <w:color w:val="365F91"/>
        </w:rPr>
      </w:pPr>
      <w:r>
        <w:rPr>
          <w:rFonts w:cs="Calibri"/>
          <w:color w:val="365F91"/>
        </w:rPr>
        <w:t>Website</w:t>
      </w:r>
    </w:p>
    <w:p w:rsidR="00553C21" w:rsidRPr="00B13368" w:rsidRDefault="00553C21" w:rsidP="00553C21">
      <w:pPr>
        <w:autoSpaceDN w:val="0"/>
        <w:adjustRightInd w:val="0"/>
        <w:rPr>
          <w:rFonts w:asciiTheme="majorHAnsi" w:hAnsiTheme="majorHAnsi"/>
          <w:i/>
          <w:kern w:val="2"/>
          <w:sz w:val="20"/>
          <w:szCs w:val="20"/>
          <w:lang w:val="en-CA" w:eastAsia="zh-CN"/>
        </w:rPr>
      </w:pPr>
      <w:r w:rsidRPr="00B13368">
        <w:rPr>
          <w:rFonts w:ascii="Calibri" w:hAnsi="Calibri" w:cs="Calibri"/>
        </w:rPr>
        <w:t>The development of a new main website (working title ‘ace.scisat’) continues.  Built using the Django framework, and employing a PostgreSQL backend, it is more modular than the current ACE websites (‘ace.uwaterloo’ and ‘databace.scisat’).  The first application to be integrated into the new website is the ‘Publications</w:t>
      </w:r>
      <w:r w:rsidR="000C6BD7">
        <w:rPr>
          <w:rFonts w:ascii="Calibri" w:hAnsi="Calibri" w:cs="Calibri"/>
        </w:rPr>
        <w:t xml:space="preserve">’ application, </w:t>
      </w:r>
      <w:r w:rsidR="00B13368" w:rsidRPr="00B13368">
        <w:rPr>
          <w:rFonts w:ascii="Calibri" w:hAnsi="Calibri" w:cs="Calibri"/>
        </w:rPr>
        <w:t>followed by a ‘Data Plot’ and ‘Scenario’ application.</w:t>
      </w:r>
      <w:r w:rsidR="000C6BD7">
        <w:rPr>
          <w:rFonts w:ascii="Calibri" w:hAnsi="Calibri" w:cs="Calibri"/>
        </w:rPr>
        <w:t xml:space="preserve"> A data plot and </w:t>
      </w:r>
      <w:r w:rsidR="000C6BD7">
        <w:rPr>
          <w:rFonts w:ascii="Calibri" w:hAnsi="Calibri" w:cs="Calibri"/>
        </w:rPr>
        <w:lastRenderedPageBreak/>
        <w:t>publications application has been added to the website with further development of features required</w:t>
      </w:r>
      <w:r w:rsidR="00E5402E">
        <w:rPr>
          <w:rFonts w:ascii="Calibri" w:hAnsi="Calibri" w:cs="Calibri"/>
        </w:rPr>
        <w:t>, as well as a ‘current scenario’ application showing the satellites near real time position.</w:t>
      </w:r>
    </w:p>
    <w:p w:rsidR="00553C21" w:rsidRDefault="00DA5267" w:rsidP="00DA5267">
      <w:pPr>
        <w:autoSpaceDN w:val="0"/>
        <w:adjustRightInd w:val="0"/>
        <w:spacing w:after="240"/>
        <w:rPr>
          <w:kern w:val="2"/>
          <w:lang w:val="en-CA" w:eastAsia="zh-CN"/>
        </w:rPr>
      </w:pPr>
      <w:r w:rsidRPr="00DA5267">
        <w:rPr>
          <w:rFonts w:ascii="Calibri" w:hAnsi="Calibri" w:cs="Calibri"/>
          <w:kern w:val="2"/>
          <w:lang w:val="en-CA" w:eastAsia="zh-CN"/>
        </w:rPr>
        <w:t>Last quarter saw 1011 total website sessions, with a new session rate of 47.68%</w:t>
      </w:r>
      <w:r w:rsidRPr="00DA5267">
        <w:rPr>
          <w:kern w:val="2"/>
          <w:lang w:val="en-CA" w:eastAsia="zh-CN"/>
        </w:rPr>
        <w:t xml:space="preserve">.  </w:t>
      </w:r>
      <w:r w:rsidRPr="00DA5267">
        <w:rPr>
          <w:kern w:val="2"/>
          <w:lang w:val="en-CA" w:eastAsia="zh-CN"/>
        </w:rPr>
        <w:fldChar w:fldCharType="begin"/>
      </w:r>
      <w:r w:rsidRPr="00DA5267">
        <w:rPr>
          <w:kern w:val="2"/>
          <w:lang w:val="en-CA" w:eastAsia="zh-CN"/>
        </w:rPr>
        <w:instrText xml:space="preserve"> REF _Ref503203226 \h </w:instrText>
      </w:r>
      <w:r w:rsidRPr="00DA5267">
        <w:rPr>
          <w:kern w:val="2"/>
          <w:lang w:val="en-CA" w:eastAsia="zh-CN"/>
        </w:rPr>
      </w:r>
      <w:r w:rsidRPr="00DA5267">
        <w:rPr>
          <w:kern w:val="2"/>
          <w:lang w:val="en-CA" w:eastAsia="zh-CN"/>
        </w:rPr>
        <w:fldChar w:fldCharType="separate"/>
      </w:r>
      <w:r w:rsidRPr="00DA5267">
        <w:rPr>
          <w:rFonts w:ascii="Cambria" w:hAnsi="Cambria" w:cstheme="minorBidi"/>
          <w:i/>
          <w:sz w:val="21"/>
          <w:lang w:val="en-US" w:eastAsia="en-US"/>
        </w:rPr>
        <w:t xml:space="preserve">Table </w:t>
      </w:r>
      <w:r w:rsidRPr="00DA5267">
        <w:rPr>
          <w:rFonts w:ascii="Cambria" w:hAnsi="Cambria" w:cstheme="minorBidi"/>
          <w:i/>
          <w:noProof/>
          <w:sz w:val="21"/>
          <w:lang w:val="en-US" w:eastAsia="en-US"/>
        </w:rPr>
        <w:t>2</w:t>
      </w:r>
      <w:r w:rsidRPr="00DA5267">
        <w:rPr>
          <w:kern w:val="2"/>
          <w:lang w:val="en-CA" w:eastAsia="zh-CN"/>
        </w:rPr>
        <w:fldChar w:fldCharType="end"/>
      </w:r>
      <w:r w:rsidR="00553C21" w:rsidRPr="00DA5267">
        <w:rPr>
          <w:kern w:val="2"/>
          <w:lang w:val="en-CA" w:eastAsia="zh-CN"/>
        </w:rPr>
        <w:t xml:space="preserve"> shows the location information for the countries with the most visits to the ACE public site.</w:t>
      </w:r>
    </w:p>
    <w:p w:rsidR="00D42328" w:rsidRPr="00D42328" w:rsidRDefault="00D42328" w:rsidP="00D42328">
      <w:pPr>
        <w:suppressLineNumbers/>
        <w:autoSpaceDE w:val="0"/>
        <w:autoSpaceDN w:val="0"/>
        <w:adjustRightInd w:val="0"/>
        <w:spacing w:after="120"/>
        <w:jc w:val="center"/>
        <w:rPr>
          <w:i/>
          <w:kern w:val="2"/>
          <w:sz w:val="18"/>
          <w:szCs w:val="18"/>
          <w:lang w:val="en-CA" w:eastAsia="zh-CN"/>
        </w:rPr>
      </w:pPr>
      <w:bookmarkStart w:id="0" w:name="_Ref503203226"/>
      <w:r>
        <w:rPr>
          <w:rFonts w:ascii="Cambria" w:hAnsi="Cambria" w:cstheme="minorBidi"/>
          <w:i/>
          <w:sz w:val="21"/>
          <w:lang w:val="en-US" w:eastAsia="en-US"/>
        </w:rPr>
        <w:t xml:space="preserve">Table </w:t>
      </w:r>
      <w:r>
        <w:rPr>
          <w:rFonts w:ascii="Cambria" w:hAnsi="Cambria" w:cstheme="minorBidi"/>
          <w:i/>
          <w:sz w:val="21"/>
          <w:lang w:val="en-US" w:eastAsia="en-US"/>
        </w:rPr>
        <w:fldChar w:fldCharType="begin"/>
      </w:r>
      <w:r>
        <w:rPr>
          <w:rFonts w:ascii="Cambria" w:hAnsi="Cambria" w:cstheme="minorBidi"/>
          <w:i/>
          <w:sz w:val="21"/>
          <w:lang w:val="en-US" w:eastAsia="en-US"/>
        </w:rPr>
        <w:instrText xml:space="preserve"> SEQ "Table" \*Arabic </w:instrText>
      </w:r>
      <w:r>
        <w:rPr>
          <w:rFonts w:ascii="Cambria" w:hAnsi="Cambria" w:cstheme="minorBidi"/>
          <w:i/>
          <w:sz w:val="21"/>
          <w:lang w:val="en-US" w:eastAsia="en-US"/>
        </w:rPr>
        <w:fldChar w:fldCharType="separate"/>
      </w:r>
      <w:r>
        <w:rPr>
          <w:rFonts w:ascii="Cambria" w:hAnsi="Cambria" w:cstheme="minorBidi"/>
          <w:i/>
          <w:noProof/>
          <w:sz w:val="21"/>
          <w:lang w:val="en-US" w:eastAsia="en-US"/>
        </w:rPr>
        <w:t>2</w:t>
      </w:r>
      <w:r>
        <w:rPr>
          <w:rFonts w:ascii="Cambria" w:hAnsi="Cambria" w:cstheme="minorBidi"/>
          <w:i/>
          <w:sz w:val="21"/>
          <w:lang w:val="en-US" w:eastAsia="en-US"/>
        </w:rPr>
        <w:fldChar w:fldCharType="end"/>
      </w:r>
      <w:bookmarkEnd w:id="0"/>
      <w:r>
        <w:rPr>
          <w:rFonts w:ascii="Cambria" w:hAnsi="Cambria" w:cstheme="minorBidi"/>
          <w:i/>
          <w:sz w:val="21"/>
          <w:lang w:val="en-US" w:eastAsia="en-US"/>
        </w:rPr>
        <w:t xml:space="preserve">: ACE public website statistics for the first quarter of 2017/18 </w:t>
      </w:r>
      <w:r>
        <w:rPr>
          <w:i/>
          <w:kern w:val="2"/>
          <w:sz w:val="18"/>
          <w:szCs w:val="18"/>
          <w:lang w:val="en-CA" w:eastAsia="zh-CN"/>
        </w:rPr>
        <w:t>Source: google analytics</w:t>
      </w:r>
    </w:p>
    <w:tbl>
      <w:tblPr>
        <w:tblW w:w="6820" w:type="dxa"/>
        <w:jc w:val="center"/>
        <w:tblLook w:val="04A0" w:firstRow="1" w:lastRow="0" w:firstColumn="1" w:lastColumn="0" w:noHBand="0" w:noVBand="1"/>
      </w:tblPr>
      <w:tblGrid>
        <w:gridCol w:w="1038"/>
        <w:gridCol w:w="985"/>
        <w:gridCol w:w="1060"/>
        <w:gridCol w:w="960"/>
        <w:gridCol w:w="960"/>
        <w:gridCol w:w="1520"/>
        <w:gridCol w:w="1027"/>
      </w:tblGrid>
      <w:tr w:rsidR="0085310E" w:rsidRPr="0085310E" w:rsidTr="00DA5267">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310E" w:rsidRPr="0085310E" w:rsidRDefault="0085310E" w:rsidP="00DA5267">
            <w:pPr>
              <w:spacing w:before="0" w:line="240" w:lineRule="auto"/>
              <w:jc w:val="center"/>
              <w:rPr>
                <w:rFonts w:ascii="Calibri" w:hAnsi="Calibri"/>
                <w:b/>
                <w:bCs/>
                <w:color w:val="000000"/>
                <w:szCs w:val="22"/>
                <w:lang w:val="en-CA" w:eastAsia="en-CA"/>
              </w:rPr>
            </w:pPr>
            <w:r w:rsidRPr="0085310E">
              <w:rPr>
                <w:rFonts w:ascii="Calibri" w:hAnsi="Calibri"/>
                <w:b/>
                <w:bCs/>
                <w:color w:val="000000"/>
                <w:szCs w:val="22"/>
                <w:lang w:val="en-CA" w:eastAsia="en-CA"/>
              </w:rPr>
              <w:t>Country</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5310E" w:rsidRPr="0085310E" w:rsidRDefault="0085310E" w:rsidP="00DA5267">
            <w:pPr>
              <w:spacing w:before="0" w:line="240" w:lineRule="auto"/>
              <w:jc w:val="center"/>
              <w:rPr>
                <w:rFonts w:ascii="Calibri" w:hAnsi="Calibri"/>
                <w:b/>
                <w:bCs/>
                <w:color w:val="000000"/>
                <w:szCs w:val="22"/>
                <w:lang w:val="en-CA" w:eastAsia="en-CA"/>
              </w:rPr>
            </w:pPr>
            <w:r w:rsidRPr="0085310E">
              <w:rPr>
                <w:rFonts w:ascii="Calibri" w:hAnsi="Calibri"/>
                <w:b/>
                <w:bCs/>
                <w:color w:val="000000"/>
                <w:szCs w:val="22"/>
                <w:lang w:val="en-CA" w:eastAsia="en-CA"/>
              </w:rPr>
              <w:t>Sessions</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85310E" w:rsidRPr="0085310E" w:rsidRDefault="0085310E" w:rsidP="00DA5267">
            <w:pPr>
              <w:spacing w:before="0" w:line="240" w:lineRule="auto"/>
              <w:jc w:val="center"/>
              <w:rPr>
                <w:rFonts w:ascii="Calibri" w:hAnsi="Calibri"/>
                <w:b/>
                <w:bCs/>
                <w:color w:val="000000"/>
                <w:szCs w:val="22"/>
                <w:lang w:val="en-CA" w:eastAsia="en-CA"/>
              </w:rPr>
            </w:pPr>
            <w:r w:rsidRPr="0085310E">
              <w:rPr>
                <w:rFonts w:ascii="Calibri" w:hAnsi="Calibri"/>
                <w:b/>
                <w:bCs/>
                <w:color w:val="000000"/>
                <w:szCs w:val="22"/>
                <w:lang w:val="en-CA" w:eastAsia="en-CA"/>
              </w:rPr>
              <w:t>% New Sessions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5310E" w:rsidRPr="0085310E" w:rsidRDefault="0085310E" w:rsidP="00DA5267">
            <w:pPr>
              <w:spacing w:before="0" w:line="240" w:lineRule="auto"/>
              <w:jc w:val="center"/>
              <w:rPr>
                <w:rFonts w:ascii="Calibri" w:hAnsi="Calibri"/>
                <w:b/>
                <w:bCs/>
                <w:color w:val="000000"/>
                <w:szCs w:val="22"/>
                <w:lang w:val="en-CA" w:eastAsia="en-CA"/>
              </w:rPr>
            </w:pPr>
            <w:r w:rsidRPr="0085310E">
              <w:rPr>
                <w:rFonts w:ascii="Calibri" w:hAnsi="Calibri"/>
                <w:b/>
                <w:bCs/>
                <w:color w:val="000000"/>
                <w:szCs w:val="22"/>
                <w:lang w:val="en-CA" w:eastAsia="en-CA"/>
              </w:rPr>
              <w:t>New Users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5310E" w:rsidRPr="0085310E" w:rsidRDefault="0085310E" w:rsidP="00DA5267">
            <w:pPr>
              <w:spacing w:before="0" w:line="240" w:lineRule="auto"/>
              <w:jc w:val="center"/>
              <w:rPr>
                <w:rFonts w:ascii="Calibri" w:hAnsi="Calibri"/>
                <w:b/>
                <w:bCs/>
                <w:color w:val="000000"/>
                <w:szCs w:val="22"/>
                <w:lang w:val="en-CA" w:eastAsia="en-CA"/>
              </w:rPr>
            </w:pPr>
            <w:r w:rsidRPr="0085310E">
              <w:rPr>
                <w:rFonts w:ascii="Calibri" w:hAnsi="Calibri"/>
                <w:b/>
                <w:bCs/>
                <w:color w:val="000000"/>
                <w:szCs w:val="22"/>
                <w:lang w:val="en-CA" w:eastAsia="en-CA"/>
              </w:rPr>
              <w:t>Bounce Rate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5310E" w:rsidRPr="0085310E" w:rsidRDefault="0085310E" w:rsidP="00DA5267">
            <w:pPr>
              <w:spacing w:before="0" w:line="240" w:lineRule="auto"/>
              <w:jc w:val="center"/>
              <w:rPr>
                <w:rFonts w:ascii="Calibri" w:hAnsi="Calibri"/>
                <w:b/>
                <w:bCs/>
                <w:color w:val="000000"/>
                <w:szCs w:val="22"/>
                <w:lang w:val="en-CA" w:eastAsia="en-CA"/>
              </w:rPr>
            </w:pPr>
            <w:r w:rsidRPr="0085310E">
              <w:rPr>
                <w:rFonts w:ascii="Calibri" w:hAnsi="Calibri"/>
                <w:b/>
                <w:bCs/>
                <w:color w:val="000000"/>
                <w:szCs w:val="22"/>
                <w:lang w:val="en-CA" w:eastAsia="en-CA"/>
              </w:rPr>
              <w:t>Pages/Session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5310E" w:rsidRPr="0085310E" w:rsidRDefault="0085310E" w:rsidP="00DA5267">
            <w:pPr>
              <w:spacing w:before="0" w:line="240" w:lineRule="auto"/>
              <w:jc w:val="center"/>
              <w:rPr>
                <w:rFonts w:ascii="Calibri" w:hAnsi="Calibri"/>
                <w:b/>
                <w:bCs/>
                <w:color w:val="000000"/>
                <w:szCs w:val="22"/>
                <w:lang w:val="en-CA" w:eastAsia="en-CA"/>
              </w:rPr>
            </w:pPr>
            <w:r w:rsidRPr="0085310E">
              <w:rPr>
                <w:rFonts w:ascii="Calibri" w:hAnsi="Calibri"/>
                <w:b/>
                <w:bCs/>
                <w:color w:val="000000"/>
                <w:szCs w:val="22"/>
                <w:lang w:val="en-CA" w:eastAsia="en-CA"/>
              </w:rPr>
              <w:t>Avg. Session Duration</w:t>
            </w:r>
          </w:p>
        </w:tc>
      </w:tr>
      <w:tr w:rsidR="0085310E" w:rsidRPr="0085310E" w:rsidTr="0085310E">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Canada</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403</w:t>
            </w:r>
          </w:p>
        </w:tc>
        <w:tc>
          <w:tcPr>
            <w:tcW w:w="10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36.23%</w:t>
            </w:r>
          </w:p>
        </w:tc>
        <w:tc>
          <w:tcPr>
            <w:tcW w:w="960" w:type="dxa"/>
            <w:tcBorders>
              <w:top w:val="nil"/>
              <w:left w:val="nil"/>
              <w:bottom w:val="single" w:sz="4" w:space="0" w:color="auto"/>
              <w:right w:val="single" w:sz="4" w:space="0" w:color="auto"/>
            </w:tcBorders>
            <w:shd w:val="clear" w:color="auto" w:fill="auto"/>
            <w:noWrap/>
            <w:vAlign w:val="bottom"/>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146</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44.42%</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2.93</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0:03:41</w:t>
            </w:r>
          </w:p>
        </w:tc>
      </w:tr>
      <w:tr w:rsidR="0085310E" w:rsidRPr="0085310E" w:rsidTr="0085310E">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United States</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196</w:t>
            </w:r>
          </w:p>
        </w:tc>
        <w:tc>
          <w:tcPr>
            <w:tcW w:w="10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56.63%</w:t>
            </w:r>
          </w:p>
        </w:tc>
        <w:tc>
          <w:tcPr>
            <w:tcW w:w="960" w:type="dxa"/>
            <w:tcBorders>
              <w:top w:val="nil"/>
              <w:left w:val="nil"/>
              <w:bottom w:val="single" w:sz="4" w:space="0" w:color="auto"/>
              <w:right w:val="single" w:sz="4" w:space="0" w:color="auto"/>
            </w:tcBorders>
            <w:shd w:val="clear" w:color="auto" w:fill="auto"/>
            <w:noWrap/>
            <w:vAlign w:val="bottom"/>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111</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65.31%</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1.71</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0:01:22</w:t>
            </w:r>
          </w:p>
        </w:tc>
      </w:tr>
      <w:tr w:rsidR="0085310E" w:rsidRPr="0085310E" w:rsidTr="0085310E">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China</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86</w:t>
            </w:r>
          </w:p>
        </w:tc>
        <w:tc>
          <w:tcPr>
            <w:tcW w:w="10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43.02%</w:t>
            </w:r>
          </w:p>
        </w:tc>
        <w:tc>
          <w:tcPr>
            <w:tcW w:w="960" w:type="dxa"/>
            <w:tcBorders>
              <w:top w:val="nil"/>
              <w:left w:val="nil"/>
              <w:bottom w:val="single" w:sz="4" w:space="0" w:color="auto"/>
              <w:right w:val="single" w:sz="4" w:space="0" w:color="auto"/>
            </w:tcBorders>
            <w:shd w:val="clear" w:color="auto" w:fill="auto"/>
            <w:noWrap/>
            <w:vAlign w:val="bottom"/>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37</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61.63%</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2.36</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0:01:53</w:t>
            </w:r>
          </w:p>
        </w:tc>
      </w:tr>
      <w:tr w:rsidR="0085310E" w:rsidRPr="0085310E" w:rsidTr="0085310E">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Germany</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47</w:t>
            </w:r>
          </w:p>
        </w:tc>
        <w:tc>
          <w:tcPr>
            <w:tcW w:w="10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48.94%</w:t>
            </w:r>
          </w:p>
        </w:tc>
        <w:tc>
          <w:tcPr>
            <w:tcW w:w="960" w:type="dxa"/>
            <w:tcBorders>
              <w:top w:val="nil"/>
              <w:left w:val="nil"/>
              <w:bottom w:val="single" w:sz="4" w:space="0" w:color="auto"/>
              <w:right w:val="single" w:sz="4" w:space="0" w:color="auto"/>
            </w:tcBorders>
            <w:shd w:val="clear" w:color="auto" w:fill="auto"/>
            <w:noWrap/>
            <w:vAlign w:val="bottom"/>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23</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42.55%</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2.55</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0:02:50</w:t>
            </w:r>
          </w:p>
        </w:tc>
      </w:tr>
      <w:tr w:rsidR="0085310E" w:rsidRPr="0085310E" w:rsidTr="0085310E">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Iran</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33</w:t>
            </w:r>
          </w:p>
        </w:tc>
        <w:tc>
          <w:tcPr>
            <w:tcW w:w="10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36.36%</w:t>
            </w:r>
          </w:p>
        </w:tc>
        <w:tc>
          <w:tcPr>
            <w:tcW w:w="960" w:type="dxa"/>
            <w:tcBorders>
              <w:top w:val="nil"/>
              <w:left w:val="nil"/>
              <w:bottom w:val="single" w:sz="4" w:space="0" w:color="auto"/>
              <w:right w:val="single" w:sz="4" w:space="0" w:color="auto"/>
            </w:tcBorders>
            <w:shd w:val="clear" w:color="auto" w:fill="auto"/>
            <w:noWrap/>
            <w:vAlign w:val="bottom"/>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12</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36.36%</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5.36</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0:09:24</w:t>
            </w:r>
          </w:p>
        </w:tc>
      </w:tr>
      <w:tr w:rsidR="0085310E" w:rsidRPr="0085310E" w:rsidTr="0085310E">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Sweden</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32</w:t>
            </w:r>
          </w:p>
        </w:tc>
        <w:tc>
          <w:tcPr>
            <w:tcW w:w="10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25.00%</w:t>
            </w:r>
          </w:p>
        </w:tc>
        <w:tc>
          <w:tcPr>
            <w:tcW w:w="960" w:type="dxa"/>
            <w:tcBorders>
              <w:top w:val="nil"/>
              <w:left w:val="nil"/>
              <w:bottom w:val="single" w:sz="4" w:space="0" w:color="auto"/>
              <w:right w:val="single" w:sz="4" w:space="0" w:color="auto"/>
            </w:tcBorders>
            <w:shd w:val="clear" w:color="auto" w:fill="auto"/>
            <w:noWrap/>
            <w:vAlign w:val="bottom"/>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8</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65.62%</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1.75</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0:01:43</w:t>
            </w:r>
          </w:p>
        </w:tc>
      </w:tr>
      <w:tr w:rsidR="0085310E" w:rsidRPr="0085310E" w:rsidTr="0085310E">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Japan</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29</w:t>
            </w:r>
          </w:p>
        </w:tc>
        <w:tc>
          <w:tcPr>
            <w:tcW w:w="10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41.38%</w:t>
            </w:r>
          </w:p>
        </w:tc>
        <w:tc>
          <w:tcPr>
            <w:tcW w:w="960" w:type="dxa"/>
            <w:tcBorders>
              <w:top w:val="nil"/>
              <w:left w:val="nil"/>
              <w:bottom w:val="single" w:sz="4" w:space="0" w:color="auto"/>
              <w:right w:val="single" w:sz="4" w:space="0" w:color="auto"/>
            </w:tcBorders>
            <w:shd w:val="clear" w:color="auto" w:fill="auto"/>
            <w:noWrap/>
            <w:vAlign w:val="bottom"/>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12</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55.17%</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3.41</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0:04:00</w:t>
            </w:r>
          </w:p>
        </w:tc>
      </w:tr>
      <w:tr w:rsidR="0085310E" w:rsidRPr="0085310E" w:rsidTr="0085310E">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United Kingdom</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27</w:t>
            </w:r>
          </w:p>
        </w:tc>
        <w:tc>
          <w:tcPr>
            <w:tcW w:w="10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85.19%</w:t>
            </w:r>
          </w:p>
        </w:tc>
        <w:tc>
          <w:tcPr>
            <w:tcW w:w="960" w:type="dxa"/>
            <w:tcBorders>
              <w:top w:val="nil"/>
              <w:left w:val="nil"/>
              <w:bottom w:val="single" w:sz="4" w:space="0" w:color="auto"/>
              <w:right w:val="single" w:sz="4" w:space="0" w:color="auto"/>
            </w:tcBorders>
            <w:shd w:val="clear" w:color="auto" w:fill="auto"/>
            <w:noWrap/>
            <w:vAlign w:val="bottom"/>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23</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70.37%</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1.78</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0:01:10</w:t>
            </w:r>
          </w:p>
        </w:tc>
      </w:tr>
      <w:tr w:rsidR="0085310E" w:rsidRPr="0085310E" w:rsidTr="0085310E">
        <w:trPr>
          <w:trHeight w:val="3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India</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23</w:t>
            </w:r>
          </w:p>
        </w:tc>
        <w:tc>
          <w:tcPr>
            <w:tcW w:w="10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73.91%</w:t>
            </w:r>
          </w:p>
        </w:tc>
        <w:tc>
          <w:tcPr>
            <w:tcW w:w="960" w:type="dxa"/>
            <w:tcBorders>
              <w:top w:val="nil"/>
              <w:left w:val="nil"/>
              <w:bottom w:val="single" w:sz="4" w:space="0" w:color="auto"/>
              <w:right w:val="single" w:sz="4" w:space="0" w:color="auto"/>
            </w:tcBorders>
            <w:shd w:val="clear" w:color="auto" w:fill="auto"/>
            <w:noWrap/>
            <w:vAlign w:val="bottom"/>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17</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82.61%</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1.52</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0:00:44</w:t>
            </w:r>
          </w:p>
        </w:tc>
      </w:tr>
      <w:tr w:rsidR="0085310E" w:rsidRPr="0085310E" w:rsidTr="0085310E">
        <w:trPr>
          <w:trHeight w:val="60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South Korea</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20</w:t>
            </w:r>
          </w:p>
        </w:tc>
        <w:tc>
          <w:tcPr>
            <w:tcW w:w="10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20</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95.00%</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1.1</w:t>
            </w:r>
          </w:p>
        </w:tc>
        <w:tc>
          <w:tcPr>
            <w:tcW w:w="960" w:type="dxa"/>
            <w:tcBorders>
              <w:top w:val="nil"/>
              <w:left w:val="nil"/>
              <w:bottom w:val="single" w:sz="4" w:space="0" w:color="auto"/>
              <w:right w:val="single" w:sz="4" w:space="0" w:color="auto"/>
            </w:tcBorders>
            <w:shd w:val="clear" w:color="auto" w:fill="auto"/>
            <w:vAlign w:val="center"/>
            <w:hideMark/>
          </w:tcPr>
          <w:p w:rsidR="0085310E" w:rsidRPr="0085310E" w:rsidRDefault="0085310E" w:rsidP="0085310E">
            <w:pPr>
              <w:spacing w:before="0" w:line="240" w:lineRule="auto"/>
              <w:jc w:val="center"/>
              <w:rPr>
                <w:rFonts w:ascii="Calibri" w:hAnsi="Calibri"/>
                <w:color w:val="000000"/>
                <w:szCs w:val="22"/>
                <w:lang w:val="en-CA" w:eastAsia="en-CA"/>
              </w:rPr>
            </w:pPr>
            <w:r w:rsidRPr="0085310E">
              <w:rPr>
                <w:rFonts w:ascii="Calibri" w:hAnsi="Calibri"/>
                <w:color w:val="000000"/>
                <w:szCs w:val="22"/>
                <w:lang w:val="en-CA" w:eastAsia="en-CA"/>
              </w:rPr>
              <w:t>0:00:01</w:t>
            </w:r>
          </w:p>
        </w:tc>
      </w:tr>
    </w:tbl>
    <w:p w:rsidR="00DA5267" w:rsidRDefault="00DA5267" w:rsidP="00DA5267">
      <w:pPr>
        <w:suppressLineNumbers/>
        <w:autoSpaceDE w:val="0"/>
        <w:autoSpaceDN w:val="0"/>
        <w:adjustRightInd w:val="0"/>
        <w:spacing w:after="120"/>
        <w:jc w:val="center"/>
        <w:rPr>
          <w:rFonts w:ascii="Cambria" w:hAnsi="Cambria" w:cstheme="minorBidi"/>
          <w:i/>
          <w:lang w:val="en-US" w:eastAsia="en-US"/>
        </w:rPr>
      </w:pPr>
    </w:p>
    <w:p w:rsidR="00E5402E" w:rsidRDefault="00E5402E">
      <w:pPr>
        <w:spacing w:before="0" w:after="160" w:line="259" w:lineRule="auto"/>
        <w:rPr>
          <w:rFonts w:ascii="Calibri" w:eastAsiaTheme="majorEastAsia" w:hAnsi="Calibri" w:cs="Calibri"/>
          <w:b/>
          <w:bCs/>
          <w:color w:val="365F91"/>
          <w:szCs w:val="22"/>
        </w:rPr>
      </w:pPr>
      <w:r>
        <w:rPr>
          <w:rFonts w:cs="Calibri"/>
          <w:color w:val="365F91"/>
        </w:rPr>
        <w:br w:type="page"/>
      </w:r>
    </w:p>
    <w:p w:rsidR="00553C21" w:rsidRDefault="00553C21" w:rsidP="00553C21">
      <w:pPr>
        <w:pStyle w:val="WP3"/>
        <w:rPr>
          <w:rFonts w:cs="Calibri"/>
          <w:color w:val="365F91"/>
        </w:rPr>
      </w:pPr>
      <w:r>
        <w:rPr>
          <w:rFonts w:cs="Calibri"/>
          <w:color w:val="365F91"/>
        </w:rPr>
        <w:lastRenderedPageBreak/>
        <w:t>Publications</w:t>
      </w:r>
    </w:p>
    <w:p w:rsidR="00553C21" w:rsidRPr="00DA5267" w:rsidRDefault="00DA5267" w:rsidP="00553C21">
      <w:pPr>
        <w:autoSpaceDN w:val="0"/>
        <w:adjustRightInd w:val="0"/>
        <w:rPr>
          <w:rFonts w:ascii="Calibri" w:hAnsi="Calibri" w:cs="Calibri"/>
          <w:kern w:val="2"/>
          <w:lang w:val="en-CA" w:eastAsia="zh-CN"/>
        </w:rPr>
      </w:pPr>
      <w:r>
        <w:rPr>
          <w:noProof/>
          <w:lang w:val="en-CA" w:eastAsia="en-CA"/>
        </w:rPr>
        <mc:AlternateContent>
          <mc:Choice Requires="wps">
            <w:drawing>
              <wp:anchor distT="0" distB="127000" distL="0" distR="0" simplePos="0" relativeHeight="251660288" behindDoc="0" locked="0" layoutInCell="0" allowOverlap="1">
                <wp:simplePos x="0" y="0"/>
                <wp:positionH relativeFrom="column">
                  <wp:posOffset>142875</wp:posOffset>
                </wp:positionH>
                <wp:positionV relativeFrom="paragraph">
                  <wp:posOffset>626745</wp:posOffset>
                </wp:positionV>
                <wp:extent cx="5838825" cy="3223260"/>
                <wp:effectExtent l="0" t="0" r="28575" b="1524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3223260"/>
                        </a:xfrm>
                        <a:prstGeom prst="rect">
                          <a:avLst/>
                        </a:prstGeom>
                        <a:solidFill>
                          <a:srgbClr val="FFFFFF"/>
                        </a:solidFill>
                        <a:ln w="9525">
                          <a:solidFill>
                            <a:srgbClr val="000000"/>
                          </a:solidFill>
                          <a:miter lim="800000"/>
                          <a:headEnd/>
                          <a:tailEnd/>
                        </a:ln>
                      </wps:spPr>
                      <wps:txbx>
                        <w:txbxContent>
                          <w:p w:rsidR="00553C21" w:rsidRDefault="00CA004A" w:rsidP="00DA5267">
                            <w:pPr>
                              <w:pStyle w:val="Caption"/>
                              <w:jc w:val="center"/>
                              <w:rPr>
                                <w:sz w:val="20"/>
                                <w:szCs w:val="20"/>
                              </w:rPr>
                            </w:pPr>
                            <w:r>
                              <w:rPr>
                                <w:noProof/>
                                <w:lang w:val="en-CA" w:eastAsia="en-CA"/>
                              </w:rPr>
                              <w:drawing>
                                <wp:inline distT="0" distB="0" distL="0" distR="0" wp14:anchorId="0D24F2BA" wp14:editId="24F6AAC9">
                                  <wp:extent cx="4876800" cy="27051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53C21" w:rsidRDefault="00553C21" w:rsidP="00C23308">
                            <w:pPr>
                              <w:pStyle w:val="Caption"/>
                              <w:jc w:val="center"/>
                              <w:rPr>
                                <w:b/>
                                <w:i w:val="0"/>
                                <w:noProof/>
                                <w:kern w:val="2"/>
                                <w:sz w:val="20"/>
                                <w:szCs w:val="20"/>
                              </w:rPr>
                            </w:pPr>
                            <w:r>
                              <w:rPr>
                                <w:b/>
                                <w:i w:val="0"/>
                                <w:sz w:val="20"/>
                                <w:szCs w:val="20"/>
                              </w:rPr>
                              <w:t>Figure 5: Paper publications for the past eight quarters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11.25pt;margin-top:49.35pt;width:459.75pt;height:253.8pt;z-index:251660288;visibility:visible;mso-wrap-style:square;mso-width-percent:0;mso-height-percent:0;mso-wrap-distance-left:0;mso-wrap-distance-top:0;mso-wrap-distance-right:0;mso-wrap-distance-bottom:10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" o:allowincell="f">
                <v:textbox inset="0,0,0,0">
                  <w:txbxContent>
                    <w:p w:rsidR="00553C21" w:rsidRDefault="00CA004A" w:rsidP="00DA5267">
                      <w:pPr>
                        <w:pStyle w:val="Caption"/>
                        <w:jc w:val="center"/>
                        <w:rPr>
                          <w:sz w:val="20"/>
                          <w:szCs w:val="20"/>
                        </w:rPr>
                      </w:pPr>
                      <w:r>
                        <w:rPr>
                          <w:noProof/>
                          <w:lang w:val="en-CA" w:eastAsia="en-CA"/>
                        </w:rPr>
                        <w:drawing>
                          <wp:inline distT="0" distB="0" distL="0" distR="0" wp14:anchorId="0D24F2BA" wp14:editId="24F6AAC9">
                            <wp:extent cx="4876800" cy="27051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53C21" w:rsidRDefault="00553C21" w:rsidP="00C23308">
                      <w:pPr>
                        <w:pStyle w:val="Caption"/>
                        <w:jc w:val="center"/>
                        <w:rPr>
                          <w:b/>
                          <w:i w:val="0"/>
                          <w:noProof/>
                          <w:kern w:val="2"/>
                          <w:sz w:val="20"/>
                          <w:szCs w:val="20"/>
                        </w:rPr>
                      </w:pPr>
                      <w:r>
                        <w:rPr>
                          <w:b/>
                          <w:i w:val="0"/>
                          <w:sz w:val="20"/>
                          <w:szCs w:val="20"/>
                        </w:rPr>
                        <w:t>Figure 5: Paper publications for the past eight quarters</w:t>
                      </w:r>
                    </w:p>
                  </w:txbxContent>
                </v:textbox>
                <w10:wrap type="topAndBottom"/>
              </v:shape>
            </w:pict>
          </mc:Fallback>
        </mc:AlternateContent>
      </w:r>
      <w:r w:rsidR="00CA004A" w:rsidRPr="00DA5267">
        <w:rPr>
          <w:rFonts w:ascii="Calibri" w:hAnsi="Calibri" w:cs="Calibri"/>
          <w:kern w:val="2"/>
          <w:lang w:val="en-CA" w:eastAsia="zh-CN"/>
        </w:rPr>
        <w:t>There have been six</w:t>
      </w:r>
      <w:r w:rsidR="00553C21" w:rsidRPr="00DA5267">
        <w:rPr>
          <w:rFonts w:ascii="Calibri" w:hAnsi="Calibri" w:cs="Calibri"/>
          <w:kern w:val="2"/>
          <w:lang w:val="en-CA" w:eastAsia="zh-CN"/>
        </w:rPr>
        <w:t xml:space="preserve"> new publications this qua</w:t>
      </w:r>
      <w:r w:rsidR="00CA004A" w:rsidRPr="00DA5267">
        <w:rPr>
          <w:rFonts w:ascii="Calibri" w:hAnsi="Calibri" w:cs="Calibri"/>
          <w:kern w:val="2"/>
          <w:lang w:val="en-CA" w:eastAsia="zh-CN"/>
        </w:rPr>
        <w:t>rter for a total of twenty-seven</w:t>
      </w:r>
      <w:r w:rsidR="00553C21" w:rsidRPr="00DA5267">
        <w:rPr>
          <w:rFonts w:ascii="Calibri" w:hAnsi="Calibri" w:cs="Calibri"/>
          <w:kern w:val="2"/>
          <w:lang w:val="en-CA" w:eastAsia="zh-CN"/>
        </w:rPr>
        <w:t xml:space="preserve"> publications in the last four quarters.  The following graphic shows the number of publications per quarter for the past two years.  </w:t>
      </w:r>
    </w:p>
    <w:p w:rsidR="00553C21" w:rsidRDefault="00553C21" w:rsidP="00553C21">
      <w:pPr>
        <w:autoSpaceDN w:val="0"/>
        <w:adjustRightInd w:val="0"/>
        <w:rPr>
          <w:kern w:val="2"/>
          <w:lang w:val="en-CA" w:eastAsia="zh-CN"/>
        </w:rPr>
      </w:pPr>
    </w:p>
    <w:p w:rsidR="00553C21" w:rsidRPr="00CA004A" w:rsidRDefault="00553C21" w:rsidP="00553C21">
      <w:pPr>
        <w:rPr>
          <w:rFonts w:ascii="Calibri" w:hAnsi="Calibri" w:cs="Calibri"/>
        </w:rPr>
      </w:pPr>
      <w:r w:rsidRPr="00CA004A">
        <w:rPr>
          <w:rFonts w:ascii="Calibri" w:hAnsi="Calibri" w:cs="Calibri"/>
        </w:rPr>
        <w:t>The papers are:</w:t>
      </w:r>
    </w:p>
    <w:p w:rsidR="00553C21" w:rsidRPr="00CA004A" w:rsidRDefault="00CA004A" w:rsidP="00CA004A">
      <w:pPr>
        <w:pStyle w:val="ListParagraph"/>
        <w:numPr>
          <w:ilvl w:val="0"/>
          <w:numId w:val="2"/>
        </w:numPr>
        <w:ind w:left="993" w:hanging="426"/>
        <w:rPr>
          <w:rStyle w:val="im"/>
          <w:szCs w:val="22"/>
        </w:rPr>
      </w:pPr>
      <w:r w:rsidRPr="00CA004A">
        <w:rPr>
          <w:rStyle w:val="im"/>
          <w:szCs w:val="22"/>
        </w:rPr>
        <w:t>A Near-Global Atmospheric Distribution of N2O Isotopologues</w:t>
      </w:r>
    </w:p>
    <w:p w:rsidR="00CA004A" w:rsidRPr="00CA004A" w:rsidRDefault="00CA004A" w:rsidP="00CA004A">
      <w:pPr>
        <w:pStyle w:val="ListParagraph"/>
        <w:numPr>
          <w:ilvl w:val="0"/>
          <w:numId w:val="2"/>
        </w:numPr>
        <w:ind w:left="993" w:hanging="426"/>
        <w:rPr>
          <w:szCs w:val="22"/>
        </w:rPr>
      </w:pPr>
      <w:r w:rsidRPr="00CA004A">
        <w:rPr>
          <w:szCs w:val="22"/>
        </w:rPr>
        <w:t>An update on ozone profile trends for the period 2000 to 2016</w:t>
      </w:r>
    </w:p>
    <w:p w:rsidR="00553C21" w:rsidRPr="00CA004A" w:rsidRDefault="00CA004A" w:rsidP="00CA004A">
      <w:pPr>
        <w:pStyle w:val="ListParagraph"/>
        <w:numPr>
          <w:ilvl w:val="0"/>
          <w:numId w:val="2"/>
        </w:numPr>
        <w:ind w:left="993" w:hanging="426"/>
        <w:rPr>
          <w:szCs w:val="22"/>
        </w:rPr>
      </w:pPr>
      <w:r w:rsidRPr="00CA004A">
        <w:rPr>
          <w:rStyle w:val="im"/>
          <w:szCs w:val="22"/>
        </w:rPr>
        <w:t xml:space="preserve">Comparison of the GOSAT TANSO-FTS TIR CH4 volume mixing ratio vertical profiles with those measured by </w:t>
      </w:r>
      <w:r w:rsidRPr="00CA004A">
        <w:rPr>
          <w:rStyle w:val="m-931166542757678661m-3390287739907750645gmail-hithilite"/>
          <w:szCs w:val="22"/>
        </w:rPr>
        <w:t>ACE-FTS</w:t>
      </w:r>
      <w:r w:rsidRPr="00CA004A">
        <w:rPr>
          <w:rStyle w:val="im"/>
          <w:szCs w:val="22"/>
        </w:rPr>
        <w:t>, ESA MIPAS, IMK-IAA MIPAS, and 16 NDACC stations</w:t>
      </w:r>
    </w:p>
    <w:p w:rsidR="00553C21" w:rsidRPr="00CA004A" w:rsidRDefault="00CA004A" w:rsidP="00CA004A">
      <w:pPr>
        <w:pStyle w:val="ListParagraph"/>
        <w:numPr>
          <w:ilvl w:val="0"/>
          <w:numId w:val="2"/>
        </w:numPr>
        <w:ind w:left="993" w:hanging="426"/>
        <w:rPr>
          <w:szCs w:val="22"/>
        </w:rPr>
      </w:pPr>
      <w:r w:rsidRPr="00CA004A">
        <w:rPr>
          <w:rStyle w:val="im"/>
          <w:szCs w:val="22"/>
        </w:rPr>
        <w:t>Critically Evaluated Spectral Data for Neutral Carbon (C (I))</w:t>
      </w:r>
    </w:p>
    <w:p w:rsidR="00553C21" w:rsidRPr="00CA004A" w:rsidRDefault="00CA004A" w:rsidP="00CA004A">
      <w:pPr>
        <w:pStyle w:val="ListParagraph"/>
        <w:numPr>
          <w:ilvl w:val="0"/>
          <w:numId w:val="2"/>
        </w:numPr>
        <w:ind w:left="993" w:hanging="426"/>
        <w:rPr>
          <w:szCs w:val="22"/>
        </w:rPr>
      </w:pPr>
      <w:r w:rsidRPr="00CA004A">
        <w:rPr>
          <w:szCs w:val="22"/>
        </w:rPr>
        <w:t>Merged SAGE II, Ozone_cci and OMPS ozone profile dataset and evaluation of ozone trends in the stratosphere</w:t>
      </w:r>
    </w:p>
    <w:p w:rsidR="00553C21" w:rsidRPr="00CA004A" w:rsidRDefault="00CA004A" w:rsidP="00CA004A">
      <w:pPr>
        <w:pStyle w:val="ListParagraph"/>
        <w:numPr>
          <w:ilvl w:val="0"/>
          <w:numId w:val="2"/>
        </w:numPr>
        <w:ind w:left="993" w:hanging="426"/>
        <w:rPr>
          <w:szCs w:val="22"/>
        </w:rPr>
      </w:pPr>
      <w:r w:rsidRPr="00CA004A">
        <w:rPr>
          <w:szCs w:val="22"/>
        </w:rPr>
        <w:t>The SPARC water vapor assessment II: intercomparison of satellite and ground-based microwave measurements</w:t>
      </w:r>
    </w:p>
    <w:p w:rsidR="00553C21" w:rsidRDefault="00553C21" w:rsidP="00553C21">
      <w:pPr>
        <w:pStyle w:val="WP3"/>
        <w:rPr>
          <w:rFonts w:cs="Calibri"/>
          <w:color w:val="365F91"/>
        </w:rPr>
      </w:pPr>
      <w:r>
        <w:rPr>
          <w:rFonts w:cs="Calibri"/>
          <w:color w:val="365F91"/>
        </w:rPr>
        <w:t xml:space="preserve">Science on-time </w:t>
      </w:r>
    </w:p>
    <w:p w:rsidR="005D0F81" w:rsidRPr="005D0F81" w:rsidRDefault="005D0F81" w:rsidP="006E3500">
      <w:pPr>
        <w:spacing w:after="240"/>
      </w:pPr>
      <w:r w:rsidRPr="005D0F81">
        <w:t>The monthly minutes of allowed science-on-time (SOT) for the last quarter saw a rise in available and planned SOT while maintaining a similar percentage of used SOT over the previous year. This is most likely a consequence of the new automated scripts and algorithms used in the planning process, as well as the use of SOT forecasts to predict periods where an above-average number of occultations exist.</w:t>
      </w:r>
    </w:p>
    <w:p w:rsidR="00E5402E" w:rsidRDefault="00E5402E" w:rsidP="00CA004A">
      <w:pPr>
        <w:pStyle w:val="Caption"/>
        <w:jc w:val="center"/>
        <w:rPr>
          <w:color w:val="auto"/>
          <w:sz w:val="21"/>
          <w:szCs w:val="21"/>
        </w:rPr>
      </w:pPr>
    </w:p>
    <w:p w:rsidR="00E5402E" w:rsidRDefault="00E5402E" w:rsidP="00CA004A">
      <w:pPr>
        <w:pStyle w:val="Caption"/>
        <w:jc w:val="center"/>
        <w:rPr>
          <w:color w:val="auto"/>
          <w:sz w:val="21"/>
          <w:szCs w:val="21"/>
        </w:rPr>
      </w:pPr>
    </w:p>
    <w:p w:rsidR="00553C21" w:rsidRPr="00CA004A" w:rsidRDefault="00CA004A" w:rsidP="00CA004A">
      <w:pPr>
        <w:pStyle w:val="Caption"/>
        <w:jc w:val="center"/>
        <w:rPr>
          <w:color w:val="auto"/>
          <w:sz w:val="21"/>
          <w:szCs w:val="21"/>
        </w:rPr>
      </w:pPr>
      <w:r w:rsidRPr="00CA004A">
        <w:rPr>
          <w:color w:val="auto"/>
          <w:sz w:val="21"/>
          <w:szCs w:val="21"/>
        </w:rPr>
        <w:lastRenderedPageBreak/>
        <w:t xml:space="preserve">Table </w:t>
      </w:r>
      <w:r w:rsidRPr="00CA004A">
        <w:rPr>
          <w:color w:val="auto"/>
          <w:sz w:val="21"/>
          <w:szCs w:val="21"/>
        </w:rPr>
        <w:fldChar w:fldCharType="begin"/>
      </w:r>
      <w:r w:rsidRPr="00CA004A">
        <w:rPr>
          <w:color w:val="auto"/>
          <w:sz w:val="21"/>
          <w:szCs w:val="21"/>
        </w:rPr>
        <w:instrText xml:space="preserve"> SEQ Table \* ARABIC </w:instrText>
      </w:r>
      <w:r w:rsidRPr="00CA004A">
        <w:rPr>
          <w:color w:val="auto"/>
          <w:sz w:val="21"/>
          <w:szCs w:val="21"/>
        </w:rPr>
        <w:fldChar w:fldCharType="separate"/>
      </w:r>
      <w:r w:rsidRPr="00CA004A">
        <w:rPr>
          <w:noProof/>
          <w:color w:val="auto"/>
          <w:sz w:val="21"/>
          <w:szCs w:val="21"/>
        </w:rPr>
        <w:t>3</w:t>
      </w:r>
      <w:r w:rsidRPr="00CA004A">
        <w:rPr>
          <w:color w:val="auto"/>
          <w:sz w:val="21"/>
          <w:szCs w:val="21"/>
        </w:rPr>
        <w:fldChar w:fldCharType="end"/>
      </w:r>
      <w:r w:rsidR="00553C21" w:rsidRPr="00CA004A">
        <w:rPr>
          <w:color w:val="auto"/>
          <w:sz w:val="21"/>
          <w:szCs w:val="21"/>
        </w:rPr>
        <w:t>: Planned versus Allowed Science On-Time [minutes]</w:t>
      </w:r>
    </w:p>
    <w:tbl>
      <w:tblPr>
        <w:tblW w:w="8841" w:type="dxa"/>
        <w:jc w:val="center"/>
        <w:tblLook w:val="04A0" w:firstRow="1" w:lastRow="0" w:firstColumn="1" w:lastColumn="0" w:noHBand="0" w:noVBand="1"/>
      </w:tblPr>
      <w:tblGrid>
        <w:gridCol w:w="3974"/>
        <w:gridCol w:w="2508"/>
        <w:gridCol w:w="2359"/>
      </w:tblGrid>
      <w:tr w:rsidR="007A3D84" w:rsidRPr="007A3D84" w:rsidTr="007A3D84">
        <w:trPr>
          <w:trHeight w:val="502"/>
          <w:jc w:val="center"/>
        </w:trPr>
        <w:tc>
          <w:tcPr>
            <w:tcW w:w="39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3D84" w:rsidRPr="007A3D84" w:rsidRDefault="007A3D84" w:rsidP="007A3D84">
            <w:pPr>
              <w:spacing w:before="0" w:line="240" w:lineRule="auto"/>
              <w:jc w:val="center"/>
              <w:rPr>
                <w:rFonts w:ascii="Calibri" w:hAnsi="Calibri"/>
                <w:b/>
                <w:bCs/>
                <w:color w:val="000000"/>
                <w:szCs w:val="22"/>
                <w:u w:val="single"/>
                <w:lang w:val="en-CA" w:eastAsia="en-CA"/>
              </w:rPr>
            </w:pPr>
            <w:r w:rsidRPr="007A3D84">
              <w:rPr>
                <w:rFonts w:ascii="Calibri" w:hAnsi="Calibri" w:cs="Calibri"/>
                <w:b/>
                <w:bCs/>
                <w:color w:val="000000"/>
                <w:szCs w:val="22"/>
                <w:u w:val="single"/>
                <w:lang w:val="en-US" w:eastAsia="en-CA"/>
              </w:rPr>
              <w:t>Planned/Allowed SOT [minutes]</w:t>
            </w:r>
          </w:p>
        </w:tc>
        <w:tc>
          <w:tcPr>
            <w:tcW w:w="2508" w:type="dxa"/>
            <w:tcBorders>
              <w:top w:val="single" w:sz="4" w:space="0" w:color="auto"/>
              <w:left w:val="nil"/>
              <w:bottom w:val="single" w:sz="4" w:space="0" w:color="auto"/>
              <w:right w:val="single" w:sz="4" w:space="0" w:color="auto"/>
            </w:tcBorders>
            <w:shd w:val="clear" w:color="auto" w:fill="auto"/>
            <w:vAlign w:val="center"/>
            <w:hideMark/>
          </w:tcPr>
          <w:p w:rsidR="007A3D84" w:rsidRPr="007A3D84" w:rsidRDefault="007A3D84" w:rsidP="007A3D84">
            <w:pPr>
              <w:spacing w:before="0" w:line="240" w:lineRule="auto"/>
              <w:jc w:val="center"/>
              <w:rPr>
                <w:rFonts w:ascii="Calibri" w:hAnsi="Calibri"/>
                <w:b/>
                <w:bCs/>
                <w:color w:val="000000"/>
                <w:szCs w:val="22"/>
                <w:lang w:val="en-CA" w:eastAsia="en-CA"/>
              </w:rPr>
            </w:pPr>
            <w:r w:rsidRPr="007A3D84">
              <w:rPr>
                <w:rFonts w:ascii="Calibri" w:hAnsi="Calibri" w:cs="Calibri"/>
                <w:b/>
                <w:bCs/>
                <w:color w:val="000000"/>
                <w:szCs w:val="22"/>
                <w:lang w:val="en-US" w:eastAsia="en-CA"/>
              </w:rPr>
              <w:t>2016</w:t>
            </w:r>
          </w:p>
        </w:tc>
        <w:tc>
          <w:tcPr>
            <w:tcW w:w="2359" w:type="dxa"/>
            <w:tcBorders>
              <w:top w:val="single" w:sz="4" w:space="0" w:color="auto"/>
              <w:left w:val="nil"/>
              <w:bottom w:val="single" w:sz="4" w:space="0" w:color="auto"/>
              <w:right w:val="single" w:sz="4" w:space="0" w:color="auto"/>
            </w:tcBorders>
            <w:shd w:val="clear" w:color="auto" w:fill="auto"/>
            <w:vAlign w:val="center"/>
            <w:hideMark/>
          </w:tcPr>
          <w:p w:rsidR="007A3D84" w:rsidRPr="007A3D84" w:rsidRDefault="007A3D84" w:rsidP="007A3D84">
            <w:pPr>
              <w:spacing w:before="0" w:line="240" w:lineRule="auto"/>
              <w:jc w:val="center"/>
              <w:rPr>
                <w:rFonts w:ascii="Calibri" w:hAnsi="Calibri"/>
                <w:b/>
                <w:bCs/>
                <w:color w:val="000000"/>
                <w:szCs w:val="22"/>
                <w:lang w:val="en-CA" w:eastAsia="en-CA"/>
              </w:rPr>
            </w:pPr>
            <w:r w:rsidRPr="007A3D84">
              <w:rPr>
                <w:rFonts w:ascii="Calibri" w:hAnsi="Calibri" w:cs="Calibri"/>
                <w:b/>
                <w:bCs/>
                <w:color w:val="000000"/>
                <w:szCs w:val="22"/>
                <w:lang w:val="en-US" w:eastAsia="en-CA"/>
              </w:rPr>
              <w:t>2017</w:t>
            </w:r>
          </w:p>
        </w:tc>
      </w:tr>
      <w:tr w:rsidR="007A3D84" w:rsidRPr="007A3D84" w:rsidTr="007A3D84">
        <w:trPr>
          <w:trHeight w:val="502"/>
          <w:jc w:val="center"/>
        </w:trPr>
        <w:tc>
          <w:tcPr>
            <w:tcW w:w="3974" w:type="dxa"/>
            <w:tcBorders>
              <w:top w:val="nil"/>
              <w:left w:val="single" w:sz="4" w:space="0" w:color="auto"/>
              <w:bottom w:val="single" w:sz="4" w:space="0" w:color="auto"/>
              <w:right w:val="single" w:sz="4" w:space="0" w:color="auto"/>
            </w:tcBorders>
            <w:shd w:val="clear" w:color="auto" w:fill="auto"/>
            <w:noWrap/>
            <w:vAlign w:val="bottom"/>
            <w:hideMark/>
          </w:tcPr>
          <w:p w:rsidR="007A3D84" w:rsidRPr="007A3D84" w:rsidRDefault="007A3D84" w:rsidP="007A3D84">
            <w:pPr>
              <w:spacing w:before="0" w:line="240" w:lineRule="auto"/>
              <w:jc w:val="center"/>
              <w:rPr>
                <w:rFonts w:ascii="Calibri" w:hAnsi="Calibri"/>
                <w:b/>
                <w:bCs/>
                <w:color w:val="000000"/>
                <w:szCs w:val="22"/>
                <w:lang w:val="en-CA" w:eastAsia="en-CA"/>
              </w:rPr>
            </w:pPr>
            <w:r w:rsidRPr="007A3D84">
              <w:rPr>
                <w:rFonts w:ascii="Calibri" w:hAnsi="Calibri"/>
                <w:b/>
                <w:bCs/>
                <w:color w:val="000000"/>
                <w:szCs w:val="22"/>
                <w:lang w:val="en-CA" w:eastAsia="en-CA"/>
              </w:rPr>
              <w:t>October</w:t>
            </w:r>
          </w:p>
        </w:tc>
        <w:tc>
          <w:tcPr>
            <w:tcW w:w="2508" w:type="dxa"/>
            <w:tcBorders>
              <w:top w:val="nil"/>
              <w:left w:val="nil"/>
              <w:bottom w:val="single" w:sz="4" w:space="0" w:color="auto"/>
              <w:right w:val="single" w:sz="4" w:space="0" w:color="auto"/>
            </w:tcBorders>
            <w:shd w:val="clear" w:color="auto" w:fill="auto"/>
            <w:noWrap/>
            <w:vAlign w:val="bottom"/>
            <w:hideMark/>
          </w:tcPr>
          <w:p w:rsidR="007A3D84" w:rsidRPr="007A3D84" w:rsidRDefault="007A3D84" w:rsidP="007A3D84">
            <w:pPr>
              <w:spacing w:before="0" w:line="240" w:lineRule="auto"/>
              <w:jc w:val="center"/>
              <w:rPr>
                <w:rFonts w:ascii="Calibri" w:hAnsi="Calibri"/>
                <w:color w:val="000000"/>
                <w:szCs w:val="22"/>
                <w:lang w:val="en-CA" w:eastAsia="en-CA"/>
              </w:rPr>
            </w:pPr>
            <w:r w:rsidRPr="007A3D84">
              <w:rPr>
                <w:rFonts w:ascii="Calibri" w:hAnsi="Calibri"/>
                <w:color w:val="000000"/>
                <w:szCs w:val="22"/>
                <w:lang w:val="en-CA" w:eastAsia="en-CA"/>
              </w:rPr>
              <w:t>2464 / 2718 = 90.7%</w:t>
            </w:r>
          </w:p>
        </w:tc>
        <w:tc>
          <w:tcPr>
            <w:tcW w:w="2359" w:type="dxa"/>
            <w:tcBorders>
              <w:top w:val="nil"/>
              <w:left w:val="nil"/>
              <w:bottom w:val="single" w:sz="4" w:space="0" w:color="auto"/>
              <w:right w:val="single" w:sz="4" w:space="0" w:color="auto"/>
            </w:tcBorders>
            <w:shd w:val="clear" w:color="auto" w:fill="auto"/>
            <w:noWrap/>
            <w:vAlign w:val="bottom"/>
            <w:hideMark/>
          </w:tcPr>
          <w:p w:rsidR="007A3D84" w:rsidRPr="007A3D84" w:rsidRDefault="007A3D84" w:rsidP="007A3D84">
            <w:pPr>
              <w:spacing w:before="0" w:line="240" w:lineRule="auto"/>
              <w:jc w:val="center"/>
              <w:rPr>
                <w:rFonts w:ascii="Calibri" w:hAnsi="Calibri"/>
                <w:color w:val="000000"/>
                <w:szCs w:val="22"/>
                <w:lang w:val="en-CA" w:eastAsia="en-CA"/>
              </w:rPr>
            </w:pPr>
            <w:r w:rsidRPr="007A3D84">
              <w:rPr>
                <w:rFonts w:ascii="Calibri" w:hAnsi="Calibri"/>
                <w:color w:val="000000"/>
                <w:szCs w:val="22"/>
                <w:lang w:val="en-CA" w:eastAsia="en-CA"/>
              </w:rPr>
              <w:t>2953 / 3256 = 90.7%</w:t>
            </w:r>
          </w:p>
        </w:tc>
      </w:tr>
      <w:tr w:rsidR="007A3D84" w:rsidRPr="007A3D84" w:rsidTr="007A3D84">
        <w:trPr>
          <w:trHeight w:val="502"/>
          <w:jc w:val="center"/>
        </w:trPr>
        <w:tc>
          <w:tcPr>
            <w:tcW w:w="3974" w:type="dxa"/>
            <w:tcBorders>
              <w:top w:val="nil"/>
              <w:left w:val="single" w:sz="4" w:space="0" w:color="auto"/>
              <w:bottom w:val="single" w:sz="4" w:space="0" w:color="auto"/>
              <w:right w:val="single" w:sz="4" w:space="0" w:color="auto"/>
            </w:tcBorders>
            <w:shd w:val="clear" w:color="auto" w:fill="auto"/>
            <w:noWrap/>
            <w:vAlign w:val="bottom"/>
            <w:hideMark/>
          </w:tcPr>
          <w:p w:rsidR="007A3D84" w:rsidRPr="007A3D84" w:rsidRDefault="007A3D84" w:rsidP="007A3D84">
            <w:pPr>
              <w:spacing w:before="0" w:line="240" w:lineRule="auto"/>
              <w:jc w:val="center"/>
              <w:rPr>
                <w:rFonts w:ascii="Calibri" w:hAnsi="Calibri"/>
                <w:b/>
                <w:bCs/>
                <w:color w:val="000000"/>
                <w:szCs w:val="22"/>
                <w:lang w:val="en-CA" w:eastAsia="en-CA"/>
              </w:rPr>
            </w:pPr>
            <w:r w:rsidRPr="007A3D84">
              <w:rPr>
                <w:rFonts w:ascii="Calibri" w:hAnsi="Calibri"/>
                <w:b/>
                <w:bCs/>
                <w:color w:val="000000"/>
                <w:szCs w:val="22"/>
                <w:lang w:val="en-CA" w:eastAsia="en-CA"/>
              </w:rPr>
              <w:t>November</w:t>
            </w:r>
          </w:p>
        </w:tc>
        <w:tc>
          <w:tcPr>
            <w:tcW w:w="2508" w:type="dxa"/>
            <w:tcBorders>
              <w:top w:val="nil"/>
              <w:left w:val="nil"/>
              <w:bottom w:val="single" w:sz="4" w:space="0" w:color="auto"/>
              <w:right w:val="single" w:sz="4" w:space="0" w:color="auto"/>
            </w:tcBorders>
            <w:shd w:val="clear" w:color="auto" w:fill="auto"/>
            <w:noWrap/>
            <w:vAlign w:val="bottom"/>
            <w:hideMark/>
          </w:tcPr>
          <w:p w:rsidR="007A3D84" w:rsidRPr="007A3D84" w:rsidRDefault="007A3D84" w:rsidP="007A3D84">
            <w:pPr>
              <w:spacing w:before="0" w:line="240" w:lineRule="auto"/>
              <w:jc w:val="center"/>
              <w:rPr>
                <w:rFonts w:ascii="Calibri" w:hAnsi="Calibri"/>
                <w:color w:val="000000"/>
                <w:szCs w:val="22"/>
                <w:lang w:val="en-CA" w:eastAsia="en-CA"/>
              </w:rPr>
            </w:pPr>
            <w:r w:rsidRPr="007A3D84">
              <w:rPr>
                <w:rFonts w:ascii="Calibri" w:hAnsi="Calibri"/>
                <w:color w:val="000000"/>
                <w:szCs w:val="22"/>
                <w:lang w:val="en-CA" w:eastAsia="en-CA"/>
              </w:rPr>
              <w:t>2450 / 2594 = 94.4%</w:t>
            </w:r>
          </w:p>
        </w:tc>
        <w:tc>
          <w:tcPr>
            <w:tcW w:w="2359" w:type="dxa"/>
            <w:tcBorders>
              <w:top w:val="nil"/>
              <w:left w:val="nil"/>
              <w:bottom w:val="single" w:sz="4" w:space="0" w:color="auto"/>
              <w:right w:val="single" w:sz="4" w:space="0" w:color="auto"/>
            </w:tcBorders>
            <w:shd w:val="clear" w:color="auto" w:fill="auto"/>
            <w:noWrap/>
            <w:vAlign w:val="bottom"/>
            <w:hideMark/>
          </w:tcPr>
          <w:p w:rsidR="007A3D84" w:rsidRPr="007A3D84" w:rsidRDefault="007A3D84" w:rsidP="007A3D84">
            <w:pPr>
              <w:spacing w:before="0" w:line="240" w:lineRule="auto"/>
              <w:jc w:val="center"/>
              <w:rPr>
                <w:rFonts w:ascii="Calibri" w:hAnsi="Calibri"/>
                <w:color w:val="000000"/>
                <w:szCs w:val="22"/>
                <w:lang w:val="en-CA" w:eastAsia="en-CA"/>
              </w:rPr>
            </w:pPr>
            <w:r w:rsidRPr="007A3D84">
              <w:rPr>
                <w:rFonts w:ascii="Calibri" w:hAnsi="Calibri"/>
                <w:color w:val="000000"/>
                <w:szCs w:val="22"/>
                <w:lang w:val="en-CA" w:eastAsia="en-CA"/>
              </w:rPr>
              <w:t>2687 / 2927 = 91.8%</w:t>
            </w:r>
          </w:p>
        </w:tc>
      </w:tr>
      <w:tr w:rsidR="007A3D84" w:rsidRPr="007A3D84" w:rsidTr="007A3D84">
        <w:trPr>
          <w:trHeight w:val="502"/>
          <w:jc w:val="center"/>
        </w:trPr>
        <w:tc>
          <w:tcPr>
            <w:tcW w:w="3974" w:type="dxa"/>
            <w:tcBorders>
              <w:top w:val="nil"/>
              <w:left w:val="single" w:sz="4" w:space="0" w:color="auto"/>
              <w:bottom w:val="single" w:sz="4" w:space="0" w:color="auto"/>
              <w:right w:val="single" w:sz="4" w:space="0" w:color="auto"/>
            </w:tcBorders>
            <w:shd w:val="clear" w:color="auto" w:fill="auto"/>
            <w:noWrap/>
            <w:vAlign w:val="bottom"/>
            <w:hideMark/>
          </w:tcPr>
          <w:p w:rsidR="007A3D84" w:rsidRPr="007A3D84" w:rsidRDefault="007A3D84" w:rsidP="007A3D84">
            <w:pPr>
              <w:spacing w:before="0" w:line="240" w:lineRule="auto"/>
              <w:jc w:val="center"/>
              <w:rPr>
                <w:rFonts w:ascii="Calibri" w:hAnsi="Calibri"/>
                <w:b/>
                <w:bCs/>
                <w:color w:val="000000"/>
                <w:szCs w:val="22"/>
                <w:lang w:val="en-CA" w:eastAsia="en-CA"/>
              </w:rPr>
            </w:pPr>
            <w:r w:rsidRPr="007A3D84">
              <w:rPr>
                <w:rFonts w:ascii="Calibri" w:hAnsi="Calibri"/>
                <w:b/>
                <w:bCs/>
                <w:color w:val="000000"/>
                <w:szCs w:val="22"/>
                <w:lang w:val="en-CA" w:eastAsia="en-CA"/>
              </w:rPr>
              <w:t>December</w:t>
            </w:r>
          </w:p>
        </w:tc>
        <w:tc>
          <w:tcPr>
            <w:tcW w:w="2508" w:type="dxa"/>
            <w:tcBorders>
              <w:top w:val="nil"/>
              <w:left w:val="nil"/>
              <w:bottom w:val="single" w:sz="4" w:space="0" w:color="auto"/>
              <w:right w:val="single" w:sz="4" w:space="0" w:color="auto"/>
            </w:tcBorders>
            <w:shd w:val="clear" w:color="auto" w:fill="auto"/>
            <w:noWrap/>
            <w:vAlign w:val="bottom"/>
            <w:hideMark/>
          </w:tcPr>
          <w:p w:rsidR="007A3D84" w:rsidRPr="007A3D84" w:rsidRDefault="007A3D84" w:rsidP="007A3D84">
            <w:pPr>
              <w:spacing w:before="0" w:line="240" w:lineRule="auto"/>
              <w:jc w:val="center"/>
              <w:rPr>
                <w:rFonts w:ascii="Calibri" w:hAnsi="Calibri"/>
                <w:color w:val="000000"/>
                <w:szCs w:val="22"/>
                <w:lang w:val="en-CA" w:eastAsia="en-CA"/>
              </w:rPr>
            </w:pPr>
            <w:r w:rsidRPr="007A3D84">
              <w:rPr>
                <w:rFonts w:ascii="Calibri" w:hAnsi="Calibri"/>
                <w:color w:val="000000"/>
                <w:szCs w:val="22"/>
                <w:lang w:val="en-CA" w:eastAsia="en-CA"/>
              </w:rPr>
              <w:t>1932 / 2315 = 83.5%</w:t>
            </w:r>
          </w:p>
        </w:tc>
        <w:tc>
          <w:tcPr>
            <w:tcW w:w="2359" w:type="dxa"/>
            <w:tcBorders>
              <w:top w:val="nil"/>
              <w:left w:val="nil"/>
              <w:bottom w:val="single" w:sz="4" w:space="0" w:color="auto"/>
              <w:right w:val="single" w:sz="4" w:space="0" w:color="auto"/>
            </w:tcBorders>
            <w:shd w:val="clear" w:color="auto" w:fill="auto"/>
            <w:noWrap/>
            <w:vAlign w:val="bottom"/>
            <w:hideMark/>
          </w:tcPr>
          <w:p w:rsidR="007A3D84" w:rsidRPr="007A3D84" w:rsidRDefault="007A3D84" w:rsidP="007A3D84">
            <w:pPr>
              <w:spacing w:before="0" w:line="240" w:lineRule="auto"/>
              <w:jc w:val="center"/>
              <w:rPr>
                <w:rFonts w:ascii="Calibri" w:hAnsi="Calibri"/>
                <w:color w:val="000000"/>
                <w:szCs w:val="22"/>
                <w:lang w:val="en-CA" w:eastAsia="en-CA"/>
              </w:rPr>
            </w:pPr>
            <w:r w:rsidRPr="007A3D84">
              <w:rPr>
                <w:rFonts w:ascii="Calibri" w:hAnsi="Calibri"/>
                <w:color w:val="000000"/>
                <w:szCs w:val="22"/>
                <w:lang w:val="en-CA" w:eastAsia="en-CA"/>
              </w:rPr>
              <w:t>2070 / 2533 = 81.7%</w:t>
            </w:r>
          </w:p>
        </w:tc>
      </w:tr>
    </w:tbl>
    <w:p w:rsidR="00553C21" w:rsidRDefault="00553C21" w:rsidP="00553C21">
      <w:pPr>
        <w:rPr>
          <w:rFonts w:ascii="Calibri" w:hAnsi="Calibri" w:cs="Calibri"/>
          <w:sz w:val="20"/>
          <w:szCs w:val="20"/>
        </w:rPr>
      </w:pPr>
    </w:p>
    <w:p w:rsidR="00553C21" w:rsidRDefault="00553C21" w:rsidP="00553C21">
      <w:pPr>
        <w:autoSpaceDN w:val="0"/>
        <w:adjustRightInd w:val="0"/>
        <w:rPr>
          <w:rFonts w:asciiTheme="majorHAnsi" w:hAnsiTheme="majorHAnsi"/>
          <w:kern w:val="2"/>
          <w:sz w:val="20"/>
          <w:szCs w:val="20"/>
          <w:lang w:val="en-CA" w:eastAsia="zh-CN"/>
        </w:rPr>
      </w:pPr>
      <w:r>
        <w:rPr>
          <w:noProof/>
          <w:lang w:val="en-CA" w:eastAsia="en-CA"/>
        </w:rPr>
        <mc:AlternateContent>
          <mc:Choice Requires="wps">
            <w:drawing>
              <wp:anchor distT="45720" distB="45720" distL="114300" distR="114300" simplePos="0" relativeHeight="251658240" behindDoc="0" locked="0" layoutInCell="1" allowOverlap="1">
                <wp:simplePos x="0" y="0"/>
                <wp:positionH relativeFrom="column">
                  <wp:posOffset>-228600</wp:posOffset>
                </wp:positionH>
                <wp:positionV relativeFrom="paragraph">
                  <wp:posOffset>182245</wp:posOffset>
                </wp:positionV>
                <wp:extent cx="6381750" cy="3162300"/>
                <wp:effectExtent l="0" t="0" r="19050" b="1905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3162300"/>
                        </a:xfrm>
                        <a:prstGeom prst="rect">
                          <a:avLst/>
                        </a:prstGeom>
                        <a:solidFill>
                          <a:srgbClr val="FFFFFF"/>
                        </a:solidFill>
                        <a:ln w="9525">
                          <a:solidFill>
                            <a:srgbClr val="000000"/>
                          </a:solidFill>
                          <a:miter lim="800000"/>
                          <a:headEnd/>
                          <a:tailEnd/>
                        </a:ln>
                      </wps:spPr>
                      <wps:txbx>
                        <w:txbxContent>
                          <w:p w:rsidR="00553C21" w:rsidRDefault="007A3D84" w:rsidP="00553C21">
                            <w:pPr>
                              <w:jc w:val="center"/>
                              <w:rPr>
                                <w:rFonts w:ascii="Calibri" w:hAnsi="Calibri" w:cs="Calibri"/>
                                <w:sz w:val="20"/>
                                <w:szCs w:val="20"/>
                              </w:rPr>
                            </w:pPr>
                            <w:r>
                              <w:rPr>
                                <w:noProof/>
                                <w:lang w:val="en-CA" w:eastAsia="en-CA"/>
                              </w:rPr>
                              <w:drawing>
                                <wp:inline distT="0" distB="0" distL="0" distR="0" wp14:anchorId="3900AD3A" wp14:editId="7997499D">
                                  <wp:extent cx="516255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53C21" w:rsidRDefault="00553C21" w:rsidP="00553C21">
                            <w:pPr>
                              <w:jc w:val="center"/>
                              <w:rPr>
                                <w:rFonts w:asciiTheme="majorHAnsi" w:hAnsiTheme="majorHAnsi"/>
                                <w:i/>
                                <w:sz w:val="20"/>
                                <w:szCs w:val="20"/>
                              </w:rPr>
                            </w:pPr>
                            <w:r>
                              <w:rPr>
                                <w:rFonts w:asciiTheme="majorHAnsi" w:hAnsiTheme="majorHAnsi"/>
                                <w:i/>
                                <w:sz w:val="20"/>
                                <w:szCs w:val="20"/>
                              </w:rPr>
                              <w:t>Figure 6: Average monthly on time minutes for the mission by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9" o:spid="_x0000_s1028" type="#_x0000_t202" style="position:absolute;margin-left:-18pt;margin-top:14.35pt;width:502.5pt;height:249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">
                <v:textbox>
                  <w:txbxContent>
                    <w:p w:rsidR="00553C21" w:rsidRDefault="007A3D84" w:rsidP="00553C21">
                      <w:pPr>
                        <w:jc w:val="center"/>
                        <w:rPr>
                          <w:rFonts w:ascii="Calibri" w:hAnsi="Calibri" w:cs="Calibri"/>
                          <w:sz w:val="20"/>
                          <w:szCs w:val="20"/>
                        </w:rPr>
                      </w:pPr>
                      <w:r>
                        <w:rPr>
                          <w:noProof/>
                          <w:lang w:val="en-CA" w:eastAsia="en-CA"/>
                        </w:rPr>
                        <w:drawing>
                          <wp:inline distT="0" distB="0" distL="0" distR="0" wp14:anchorId="3900AD3A" wp14:editId="7997499D">
                            <wp:extent cx="516255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53C21" w:rsidRDefault="00553C21" w:rsidP="00553C21">
                      <w:pPr>
                        <w:jc w:val="center"/>
                        <w:rPr>
                          <w:rFonts w:asciiTheme="majorHAnsi" w:hAnsiTheme="majorHAnsi"/>
                          <w:i/>
                          <w:sz w:val="20"/>
                          <w:szCs w:val="20"/>
                        </w:rPr>
                      </w:pPr>
                      <w:r>
                        <w:rPr>
                          <w:rFonts w:asciiTheme="majorHAnsi" w:hAnsiTheme="majorHAnsi"/>
                          <w:i/>
                          <w:sz w:val="20"/>
                          <w:szCs w:val="20"/>
                        </w:rPr>
                        <w:t>Figure 6: Average monthly on time minutes for the mission by year</w:t>
                      </w:r>
                    </w:p>
                  </w:txbxContent>
                </v:textbox>
                <w10:wrap type="square"/>
              </v:shape>
            </w:pict>
          </mc:Fallback>
        </mc:AlternateContent>
      </w:r>
      <w:bookmarkStart w:id="1" w:name="h.n1pkeby2cbk0"/>
      <w:bookmarkEnd w:id="1"/>
    </w:p>
    <w:p w:rsidR="00BB54AF" w:rsidRPr="00BB54AF" w:rsidRDefault="00C23308" w:rsidP="00BB54AF">
      <w:pPr>
        <w:rPr>
          <w:rFonts w:ascii="Calibri" w:hAnsi="Calibri" w:cs="Calibri"/>
        </w:rPr>
      </w:pPr>
      <w:r>
        <w:rPr>
          <w:rFonts w:ascii="Calibri" w:hAnsi="Calibri" w:cs="Calibri"/>
        </w:rPr>
        <w:t>The average amount of monthly SOT has increased significantly over the previous year</w:t>
      </w:r>
      <w:r w:rsidR="00942FA2">
        <w:rPr>
          <w:rFonts w:ascii="Calibri" w:hAnsi="Calibri" w:cs="Calibri"/>
        </w:rPr>
        <w:t xml:space="preserve"> while</w:t>
      </w:r>
      <w:r w:rsidR="00740E69">
        <w:rPr>
          <w:rFonts w:ascii="Calibri" w:hAnsi="Calibri" w:cs="Calibri"/>
        </w:rPr>
        <w:t xml:space="preserve"> usage perecentages over the previous year dropped slightly</w:t>
      </w:r>
      <w:r>
        <w:rPr>
          <w:rFonts w:ascii="Calibri" w:hAnsi="Calibri" w:cs="Calibri"/>
        </w:rPr>
        <w:t xml:space="preserve">. </w:t>
      </w:r>
      <w:r w:rsidR="00BB54AF" w:rsidRPr="00BB54AF">
        <w:rPr>
          <w:rFonts w:ascii="Calibri" w:hAnsi="Calibri" w:cs="Calibri"/>
        </w:rPr>
        <w:t>These increases are predominantly the direct result of the painstaking efforts that went into the development and improvement of the scripts and algorithms u</w:t>
      </w:r>
      <w:r w:rsidR="00BB54AF">
        <w:rPr>
          <w:rFonts w:ascii="Calibri" w:hAnsi="Calibri" w:cs="Calibri"/>
        </w:rPr>
        <w:t>sed by the planning process.</w:t>
      </w:r>
      <w:r w:rsidR="00BB54AF" w:rsidRPr="00BB54AF">
        <w:rPr>
          <w:rFonts w:ascii="Calibri" w:hAnsi="Calibri" w:cs="Calibri"/>
        </w:rPr>
        <w:t xml:space="preserve"> </w:t>
      </w:r>
      <w:r w:rsidR="00BB54AF">
        <w:rPr>
          <w:rFonts w:ascii="Calibri" w:hAnsi="Calibri" w:cs="Calibri"/>
        </w:rPr>
        <w:t>Since the last quarterly report, the use of the new ‘FTS Sunrise’ macro allowed for 93 occultations to be taken during high beta periods that would not have been otherwise possible.</w:t>
      </w:r>
    </w:p>
    <w:p w:rsidR="00BB54AF" w:rsidRDefault="00BB54AF">
      <w:pPr>
        <w:rPr>
          <w:rFonts w:ascii="Calibri" w:hAnsi="Calibri" w:cs="Calibri"/>
        </w:rPr>
      </w:pPr>
      <w:r>
        <w:rPr>
          <w:rFonts w:ascii="Calibri" w:hAnsi="Calibri" w:cs="Calibri"/>
        </w:rPr>
        <w:t>An automated script has been developed to detect gaps in received data files and has gone into daily use as of December. This script finds missing data packets and attributes any potential missing files to a ground station when possible.</w:t>
      </w:r>
      <w:r w:rsidR="00C23308">
        <w:rPr>
          <w:rFonts w:ascii="Calibri" w:hAnsi="Calibri" w:cs="Calibri"/>
        </w:rPr>
        <w:t xml:space="preserve"> The end goal of this script is the daily monitoring of data loss as well as finding missing occultations over the entire mission.</w:t>
      </w:r>
    </w:p>
    <w:p w:rsidR="00047C19" w:rsidRPr="00BE5C7C" w:rsidRDefault="00C23308">
      <w:pPr>
        <w:rPr>
          <w:rFonts w:ascii="Calibri" w:hAnsi="Calibri" w:cs="Calibri"/>
        </w:rPr>
      </w:pPr>
      <w:r>
        <w:rPr>
          <w:rFonts w:ascii="Calibri" w:hAnsi="Calibri" w:cs="Calibri"/>
        </w:rPr>
        <w:t xml:space="preserve">Development of a website app to give near real-time mission scenario information is currently under development using CesiumJS and STK. </w:t>
      </w:r>
      <w:r w:rsidR="00B055B4">
        <w:rPr>
          <w:rFonts w:ascii="Calibri" w:hAnsi="Calibri" w:cs="Calibri"/>
        </w:rPr>
        <w:t>This app should provide current satellite metrics and location while accepting user input by loading daily ephemeris data from STK.</w:t>
      </w:r>
      <w:bookmarkStart w:id="2" w:name="_GoBack"/>
      <w:bookmarkEnd w:id="2"/>
    </w:p>
    <w:sectPr w:rsidR="00047C19" w:rsidRPr="00BE5C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C33FA4"/>
    <w:multiLevelType w:val="hybridMultilevel"/>
    <w:tmpl w:val="6FB03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E2B05D2"/>
    <w:multiLevelType w:val="hybridMultilevel"/>
    <w:tmpl w:val="EDB2599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C21"/>
    <w:rsid w:val="00047C19"/>
    <w:rsid w:val="000C6BD7"/>
    <w:rsid w:val="002E7E7B"/>
    <w:rsid w:val="00387DC4"/>
    <w:rsid w:val="003E33C0"/>
    <w:rsid w:val="00553C21"/>
    <w:rsid w:val="005D0F81"/>
    <w:rsid w:val="006E3500"/>
    <w:rsid w:val="00721CF7"/>
    <w:rsid w:val="00740E69"/>
    <w:rsid w:val="007723E8"/>
    <w:rsid w:val="00782691"/>
    <w:rsid w:val="007A3D84"/>
    <w:rsid w:val="007A745A"/>
    <w:rsid w:val="0085310E"/>
    <w:rsid w:val="00942FA2"/>
    <w:rsid w:val="0099657B"/>
    <w:rsid w:val="00AB6EAA"/>
    <w:rsid w:val="00B055B4"/>
    <w:rsid w:val="00B13368"/>
    <w:rsid w:val="00BB54AF"/>
    <w:rsid w:val="00BE5C7C"/>
    <w:rsid w:val="00C23308"/>
    <w:rsid w:val="00CA004A"/>
    <w:rsid w:val="00D42328"/>
    <w:rsid w:val="00DA5267"/>
    <w:rsid w:val="00E47EC3"/>
    <w:rsid w:val="00E51F4C"/>
    <w:rsid w:val="00E540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CBF6E-3E71-48E8-B604-CA54E802C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C21"/>
    <w:pPr>
      <w:spacing w:before="120" w:after="0" w:line="264" w:lineRule="auto"/>
    </w:pPr>
    <w:rPr>
      <w:rFonts w:eastAsia="Times New Roman" w:cs="Times New Roman"/>
      <w:szCs w:val="24"/>
      <w:lang w:val="en-GB" w:eastAsia="ja-JP"/>
    </w:rPr>
  </w:style>
  <w:style w:type="paragraph" w:styleId="Heading2">
    <w:name w:val="heading 2"/>
    <w:basedOn w:val="Normal"/>
    <w:next w:val="Normal"/>
    <w:link w:val="Heading2Char"/>
    <w:uiPriority w:val="9"/>
    <w:semiHidden/>
    <w:unhideWhenUsed/>
    <w:qFormat/>
    <w:rsid w:val="00553C2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C21"/>
    <w:pPr>
      <w:ind w:left="720"/>
      <w:contextualSpacing/>
    </w:pPr>
  </w:style>
  <w:style w:type="paragraph" w:customStyle="1" w:styleId="TableContents">
    <w:name w:val="Table Contents"/>
    <w:basedOn w:val="BodyText"/>
    <w:qFormat/>
    <w:rsid w:val="00553C21"/>
    <w:pPr>
      <w:widowControl w:val="0"/>
      <w:suppressAutoHyphens/>
      <w:spacing w:after="0"/>
    </w:pPr>
    <w:rPr>
      <w:lang w:val="en-US" w:eastAsia="en-US"/>
    </w:rPr>
  </w:style>
  <w:style w:type="character" w:customStyle="1" w:styleId="WP3Char">
    <w:name w:val="WP3 Char"/>
    <w:basedOn w:val="DefaultParagraphFont"/>
    <w:link w:val="WP3"/>
    <w:locked/>
    <w:rsid w:val="00553C21"/>
    <w:rPr>
      <w:rFonts w:ascii="Calibri" w:eastAsiaTheme="majorEastAsia" w:hAnsi="Calibri" w:cstheme="majorBidi"/>
      <w:b/>
      <w:bCs/>
      <w:color w:val="2E74B5" w:themeColor="accent1" w:themeShade="BF"/>
      <w:lang w:val="en-GB" w:eastAsia="ja-JP"/>
    </w:rPr>
  </w:style>
  <w:style w:type="paragraph" w:customStyle="1" w:styleId="WP3">
    <w:name w:val="WP3"/>
    <w:basedOn w:val="Heading2"/>
    <w:link w:val="WP3Char"/>
    <w:qFormat/>
    <w:rsid w:val="00553C21"/>
    <w:pPr>
      <w:keepNext w:val="0"/>
      <w:keepLines w:val="0"/>
      <w:tabs>
        <w:tab w:val="left" w:pos="1440"/>
      </w:tabs>
      <w:spacing w:before="120"/>
      <w:ind w:left="720"/>
    </w:pPr>
    <w:rPr>
      <w:rFonts w:ascii="Calibri" w:hAnsi="Calibri"/>
      <w:b/>
      <w:bCs/>
      <w:sz w:val="22"/>
      <w:szCs w:val="22"/>
    </w:rPr>
  </w:style>
  <w:style w:type="paragraph" w:customStyle="1" w:styleId="Table">
    <w:name w:val="Table"/>
    <w:basedOn w:val="Caption"/>
    <w:qFormat/>
    <w:rsid w:val="00553C21"/>
    <w:pPr>
      <w:suppressLineNumbers/>
      <w:spacing w:before="120" w:after="120"/>
    </w:pPr>
    <w:rPr>
      <w:rFonts w:ascii="Liberation Serif" w:eastAsia="Noto Sans CJK SC Regular" w:hAnsi="Liberation Serif" w:cs="FreeSans"/>
      <w:color w:val="00000A"/>
      <w:sz w:val="24"/>
      <w:szCs w:val="24"/>
      <w:lang w:val="en-CA" w:eastAsia="zh-CN" w:bidi="hi-IN"/>
    </w:rPr>
  </w:style>
  <w:style w:type="paragraph" w:styleId="BodyText">
    <w:name w:val="Body Text"/>
    <w:basedOn w:val="Normal"/>
    <w:link w:val="BodyTextChar"/>
    <w:uiPriority w:val="99"/>
    <w:semiHidden/>
    <w:unhideWhenUsed/>
    <w:rsid w:val="00553C21"/>
    <w:pPr>
      <w:spacing w:after="120"/>
    </w:pPr>
  </w:style>
  <w:style w:type="character" w:customStyle="1" w:styleId="BodyTextChar">
    <w:name w:val="Body Text Char"/>
    <w:basedOn w:val="DefaultParagraphFont"/>
    <w:link w:val="BodyText"/>
    <w:uiPriority w:val="99"/>
    <w:semiHidden/>
    <w:rsid w:val="00553C21"/>
    <w:rPr>
      <w:rFonts w:eastAsia="Times New Roman" w:cs="Times New Roman"/>
      <w:szCs w:val="24"/>
      <w:lang w:val="en-GB" w:eastAsia="ja-JP"/>
    </w:rPr>
  </w:style>
  <w:style w:type="character" w:customStyle="1" w:styleId="Heading2Char">
    <w:name w:val="Heading 2 Char"/>
    <w:basedOn w:val="DefaultParagraphFont"/>
    <w:link w:val="Heading2"/>
    <w:uiPriority w:val="9"/>
    <w:semiHidden/>
    <w:rsid w:val="00553C21"/>
    <w:rPr>
      <w:rFonts w:asciiTheme="majorHAnsi" w:eastAsiaTheme="majorEastAsia" w:hAnsiTheme="majorHAnsi" w:cstheme="majorBidi"/>
      <w:color w:val="2E74B5" w:themeColor="accent1" w:themeShade="BF"/>
      <w:sz w:val="26"/>
      <w:szCs w:val="26"/>
      <w:lang w:val="en-GB" w:eastAsia="ja-JP"/>
    </w:rPr>
  </w:style>
  <w:style w:type="paragraph" w:styleId="Caption">
    <w:name w:val="caption"/>
    <w:basedOn w:val="Normal"/>
    <w:next w:val="Normal"/>
    <w:uiPriority w:val="35"/>
    <w:unhideWhenUsed/>
    <w:qFormat/>
    <w:rsid w:val="00553C21"/>
    <w:pPr>
      <w:spacing w:before="0" w:after="200" w:line="240" w:lineRule="auto"/>
    </w:pPr>
    <w:rPr>
      <w:i/>
      <w:iCs/>
      <w:color w:val="44546A" w:themeColor="text2"/>
      <w:sz w:val="18"/>
      <w:szCs w:val="18"/>
    </w:rPr>
  </w:style>
  <w:style w:type="paragraph" w:customStyle="1" w:styleId="Drawing">
    <w:name w:val="Drawing"/>
    <w:basedOn w:val="Caption"/>
    <w:uiPriority w:val="99"/>
    <w:rsid w:val="00553C21"/>
    <w:pPr>
      <w:suppressLineNumbers/>
      <w:autoSpaceDE w:val="0"/>
      <w:autoSpaceDN w:val="0"/>
      <w:adjustRightInd w:val="0"/>
      <w:spacing w:before="120" w:after="120" w:line="264" w:lineRule="auto"/>
      <w:jc w:val="both"/>
    </w:pPr>
    <w:rPr>
      <w:rFonts w:ascii="Cambria" w:hAnsi="Cambria" w:cstheme="minorBidi"/>
      <w:color w:val="auto"/>
      <w:sz w:val="24"/>
      <w:szCs w:val="24"/>
      <w:lang w:val="en-US" w:eastAsia="en-US"/>
    </w:rPr>
  </w:style>
  <w:style w:type="character" w:customStyle="1" w:styleId="WP2Char">
    <w:name w:val="WP2 Char"/>
    <w:basedOn w:val="DefaultParagraphFont"/>
    <w:link w:val="WP2"/>
    <w:locked/>
    <w:rsid w:val="00553C21"/>
    <w:rPr>
      <w:rFonts w:cs="Calibri"/>
      <w:b/>
      <w:bCs/>
      <w:sz w:val="24"/>
      <w:lang w:eastAsia="en-CA"/>
    </w:rPr>
  </w:style>
  <w:style w:type="paragraph" w:customStyle="1" w:styleId="WP2">
    <w:name w:val="WP2"/>
    <w:basedOn w:val="Normal"/>
    <w:link w:val="WP2Char"/>
    <w:qFormat/>
    <w:rsid w:val="00553C21"/>
    <w:pPr>
      <w:tabs>
        <w:tab w:val="left" w:pos="1440"/>
      </w:tabs>
      <w:spacing w:after="120"/>
      <w:outlineLvl w:val="1"/>
    </w:pPr>
    <w:rPr>
      <w:rFonts w:eastAsiaTheme="minorHAnsi" w:cs="Calibri"/>
      <w:b/>
      <w:bCs/>
      <w:sz w:val="24"/>
      <w:szCs w:val="22"/>
      <w:lang w:val="en-CA" w:eastAsia="en-CA"/>
    </w:rPr>
  </w:style>
  <w:style w:type="character" w:customStyle="1" w:styleId="InternetLink">
    <w:name w:val="Internet Link"/>
    <w:rsid w:val="00553C21"/>
    <w:rPr>
      <w:color w:val="000080"/>
      <w:u w:val="single"/>
    </w:rPr>
  </w:style>
  <w:style w:type="character" w:customStyle="1" w:styleId="im">
    <w:name w:val="im"/>
    <w:basedOn w:val="DefaultParagraphFont"/>
    <w:rsid w:val="00CA004A"/>
  </w:style>
  <w:style w:type="character" w:customStyle="1" w:styleId="m-931166542757678661m-3390287739907750645gmail-hithilite">
    <w:name w:val="m_-931166542757678661m_-3390287739907750645gmail-hithilite"/>
    <w:basedOn w:val="DefaultParagraphFont"/>
    <w:rsid w:val="00CA0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3510">
      <w:bodyDiv w:val="1"/>
      <w:marLeft w:val="0"/>
      <w:marRight w:val="0"/>
      <w:marTop w:val="0"/>
      <w:marBottom w:val="0"/>
      <w:divBdr>
        <w:top w:val="none" w:sz="0" w:space="0" w:color="auto"/>
        <w:left w:val="none" w:sz="0" w:space="0" w:color="auto"/>
        <w:bottom w:val="none" w:sz="0" w:space="0" w:color="auto"/>
        <w:right w:val="none" w:sz="0" w:space="0" w:color="auto"/>
      </w:divBdr>
    </w:div>
    <w:div w:id="152837707">
      <w:bodyDiv w:val="1"/>
      <w:marLeft w:val="0"/>
      <w:marRight w:val="0"/>
      <w:marTop w:val="0"/>
      <w:marBottom w:val="0"/>
      <w:divBdr>
        <w:top w:val="none" w:sz="0" w:space="0" w:color="auto"/>
        <w:left w:val="none" w:sz="0" w:space="0" w:color="auto"/>
        <w:bottom w:val="none" w:sz="0" w:space="0" w:color="auto"/>
        <w:right w:val="none" w:sz="0" w:space="0" w:color="auto"/>
      </w:divBdr>
    </w:div>
    <w:div w:id="700521134">
      <w:bodyDiv w:val="1"/>
      <w:marLeft w:val="0"/>
      <w:marRight w:val="0"/>
      <w:marTop w:val="0"/>
      <w:marBottom w:val="0"/>
      <w:divBdr>
        <w:top w:val="none" w:sz="0" w:space="0" w:color="auto"/>
        <w:left w:val="none" w:sz="0" w:space="0" w:color="auto"/>
        <w:bottom w:val="none" w:sz="0" w:space="0" w:color="auto"/>
        <w:right w:val="none" w:sz="0" w:space="0" w:color="auto"/>
      </w:divBdr>
    </w:div>
    <w:div w:id="919288233">
      <w:bodyDiv w:val="1"/>
      <w:marLeft w:val="0"/>
      <w:marRight w:val="0"/>
      <w:marTop w:val="0"/>
      <w:marBottom w:val="0"/>
      <w:divBdr>
        <w:top w:val="none" w:sz="0" w:space="0" w:color="auto"/>
        <w:left w:val="none" w:sz="0" w:space="0" w:color="auto"/>
        <w:bottom w:val="none" w:sz="0" w:space="0" w:color="auto"/>
        <w:right w:val="none" w:sz="0" w:space="0" w:color="auto"/>
      </w:divBdr>
    </w:div>
    <w:div w:id="1202668733">
      <w:bodyDiv w:val="1"/>
      <w:marLeft w:val="0"/>
      <w:marRight w:val="0"/>
      <w:marTop w:val="0"/>
      <w:marBottom w:val="0"/>
      <w:divBdr>
        <w:top w:val="none" w:sz="0" w:space="0" w:color="auto"/>
        <w:left w:val="none" w:sz="0" w:space="0" w:color="auto"/>
        <w:bottom w:val="none" w:sz="0" w:space="0" w:color="auto"/>
        <w:right w:val="none" w:sz="0" w:space="0" w:color="auto"/>
      </w:divBdr>
    </w:div>
    <w:div w:id="1327395720">
      <w:bodyDiv w:val="1"/>
      <w:marLeft w:val="0"/>
      <w:marRight w:val="0"/>
      <w:marTop w:val="0"/>
      <w:marBottom w:val="0"/>
      <w:divBdr>
        <w:top w:val="none" w:sz="0" w:space="0" w:color="auto"/>
        <w:left w:val="none" w:sz="0" w:space="0" w:color="auto"/>
        <w:bottom w:val="none" w:sz="0" w:space="0" w:color="auto"/>
        <w:right w:val="none" w:sz="0" w:space="0" w:color="auto"/>
      </w:divBdr>
    </w:div>
    <w:div w:id="1355963869">
      <w:bodyDiv w:val="1"/>
      <w:marLeft w:val="0"/>
      <w:marRight w:val="0"/>
      <w:marTop w:val="0"/>
      <w:marBottom w:val="0"/>
      <w:divBdr>
        <w:top w:val="none" w:sz="0" w:space="0" w:color="auto"/>
        <w:left w:val="none" w:sz="0" w:space="0" w:color="auto"/>
        <w:bottom w:val="none" w:sz="0" w:space="0" w:color="auto"/>
        <w:right w:val="none" w:sz="0" w:space="0" w:color="auto"/>
      </w:divBdr>
    </w:div>
    <w:div w:id="153735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0.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30.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jones\Desktop\Johnny\201718QuarterlyFigur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jones\Desktop\Johnny\201718QuarterlyFigures.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jones\Desktop\Johnny\201718QuarterlyFigure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sjones\Desktop\Johnny\201718QuarterlyFigures.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jones\Desktop\Johnny\201718QuarterlyFigure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sjones\Desktop\Johnny\201718QuarterlyFigures.xlsx" TargetMode="External"/><Relationship Id="rId2" Type="http://schemas.microsoft.com/office/2011/relationships/chartColorStyle" Target="colors30.xml"/><Relationship Id="rId1" Type="http://schemas.microsoft.com/office/2011/relationships/chartStyle" Target="style30.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1"/>
              <a:t>New Users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Users'!$A$3:$A$10</c:f>
              <c:strCache>
                <c:ptCount val="8"/>
                <c:pt idx="0">
                  <c:v>2015/16 Q3</c:v>
                </c:pt>
                <c:pt idx="1">
                  <c:v>2015/16 Q4</c:v>
                </c:pt>
                <c:pt idx="2">
                  <c:v>2016/17 Q1</c:v>
                </c:pt>
                <c:pt idx="3">
                  <c:v>2016/17 Q2</c:v>
                </c:pt>
                <c:pt idx="4">
                  <c:v>2016/17 Q3</c:v>
                </c:pt>
                <c:pt idx="5">
                  <c:v>2016/17 Q4</c:v>
                </c:pt>
                <c:pt idx="6">
                  <c:v>2017/18 Q1</c:v>
                </c:pt>
                <c:pt idx="7">
                  <c:v>2017/18 Q2</c:v>
                </c:pt>
              </c:strCache>
            </c:strRef>
          </c:cat>
          <c:val>
            <c:numRef>
              <c:f>'New Users'!$B$3:$B$10</c:f>
              <c:numCache>
                <c:formatCode>General</c:formatCode>
                <c:ptCount val="8"/>
                <c:pt idx="0">
                  <c:v>2</c:v>
                </c:pt>
                <c:pt idx="1">
                  <c:v>3</c:v>
                </c:pt>
                <c:pt idx="2">
                  <c:v>3</c:v>
                </c:pt>
                <c:pt idx="3">
                  <c:v>2</c:v>
                </c:pt>
                <c:pt idx="4">
                  <c:v>11</c:v>
                </c:pt>
                <c:pt idx="5">
                  <c:v>7</c:v>
                </c:pt>
                <c:pt idx="6">
                  <c:v>2</c:v>
                </c:pt>
                <c:pt idx="7">
                  <c:v>15</c:v>
                </c:pt>
              </c:numCache>
            </c:numRef>
          </c:val>
        </c:ser>
        <c:dLbls>
          <c:showLegendKey val="0"/>
          <c:showVal val="0"/>
          <c:showCatName val="0"/>
          <c:showSerName val="0"/>
          <c:showPercent val="0"/>
          <c:showBubbleSize val="0"/>
        </c:dLbls>
        <c:gapWidth val="150"/>
        <c:overlap val="100"/>
        <c:axId val="338537536"/>
        <c:axId val="338543696"/>
      </c:barChart>
      <c:catAx>
        <c:axId val="33853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543696"/>
        <c:crosses val="autoZero"/>
        <c:auto val="1"/>
        <c:lblAlgn val="ctr"/>
        <c:lblOffset val="100"/>
        <c:noMultiLvlLbl val="0"/>
      </c:catAx>
      <c:valAx>
        <c:axId val="33854369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537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1"/>
              <a:t>New Users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'New Users'!$A$3:$A$10</c:f>
              <c:strCache>
                <c:ptCount val="8"/>
                <c:pt idx="0">
                  <c:v>2015/16 Q3</c:v>
                </c:pt>
                <c:pt idx="1">
                  <c:v>2015/16 Q4</c:v>
                </c:pt>
                <c:pt idx="2">
                  <c:v>2016/17 Q1</c:v>
                </c:pt>
                <c:pt idx="3">
                  <c:v>2016/17 Q2</c:v>
                </c:pt>
                <c:pt idx="4">
                  <c:v>2016/17 Q3</c:v>
                </c:pt>
                <c:pt idx="5">
                  <c:v>2016/17 Q4</c:v>
                </c:pt>
                <c:pt idx="6">
                  <c:v>2017/18 Q1</c:v>
                </c:pt>
                <c:pt idx="7">
                  <c:v>2017/18 Q2</c:v>
                </c:pt>
              </c:strCache>
            </c:strRef>
          </c:cat>
          <c:val>
            <c:numRef>
              <c:f>'New Users'!$B$3:$B$10</c:f>
              <c:numCache>
                <c:formatCode>General</c:formatCode>
                <c:ptCount val="8"/>
                <c:pt idx="0">
                  <c:v>2</c:v>
                </c:pt>
                <c:pt idx="1">
                  <c:v>3</c:v>
                </c:pt>
                <c:pt idx="2">
                  <c:v>3</c:v>
                </c:pt>
                <c:pt idx="3">
                  <c:v>2</c:v>
                </c:pt>
                <c:pt idx="4">
                  <c:v>11</c:v>
                </c:pt>
                <c:pt idx="5">
                  <c:v>7</c:v>
                </c:pt>
                <c:pt idx="6">
                  <c:v>2</c:v>
                </c:pt>
                <c:pt idx="7">
                  <c:v>15</c:v>
                </c:pt>
              </c:numCache>
            </c:numRef>
          </c:val>
        </c:ser>
        <c:dLbls>
          <c:showLegendKey val="0"/>
          <c:showVal val="0"/>
          <c:showCatName val="0"/>
          <c:showSerName val="0"/>
          <c:showPercent val="0"/>
          <c:showBubbleSize val="0"/>
        </c:dLbls>
        <c:gapWidth val="150"/>
        <c:overlap val="100"/>
        <c:axId val="339001440"/>
        <c:axId val="339002000"/>
      </c:barChart>
      <c:catAx>
        <c:axId val="339001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002000"/>
        <c:crosses val="autoZero"/>
        <c:auto val="1"/>
        <c:lblAlgn val="ctr"/>
        <c:lblOffset val="100"/>
        <c:noMultiLvlLbl val="0"/>
      </c:catAx>
      <c:valAx>
        <c:axId val="3390020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001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Publications by Quarter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Publications!$A$1:$A$8</c:f>
              <c:strCache>
                <c:ptCount val="8"/>
                <c:pt idx="0">
                  <c:v>2015/16 Q3</c:v>
                </c:pt>
                <c:pt idx="1">
                  <c:v>2015/16 Q4</c:v>
                </c:pt>
                <c:pt idx="2">
                  <c:v>2016/17 Q1</c:v>
                </c:pt>
                <c:pt idx="3">
                  <c:v>2016/17 Q2</c:v>
                </c:pt>
                <c:pt idx="4">
                  <c:v>2016/17 Q3</c:v>
                </c:pt>
                <c:pt idx="5">
                  <c:v>2016/17 Q4</c:v>
                </c:pt>
                <c:pt idx="6">
                  <c:v>2017/18 Q1</c:v>
                </c:pt>
                <c:pt idx="7">
                  <c:v>2017/18 Q2</c:v>
                </c:pt>
              </c:strCache>
            </c:strRef>
          </c:cat>
          <c:val>
            <c:numRef>
              <c:f>Publications!$B$1:$B$8</c:f>
              <c:numCache>
                <c:formatCode>General</c:formatCode>
                <c:ptCount val="8"/>
                <c:pt idx="0">
                  <c:v>3</c:v>
                </c:pt>
                <c:pt idx="1">
                  <c:v>12</c:v>
                </c:pt>
                <c:pt idx="2">
                  <c:v>7</c:v>
                </c:pt>
                <c:pt idx="3">
                  <c:v>7</c:v>
                </c:pt>
                <c:pt idx="4">
                  <c:v>7</c:v>
                </c:pt>
                <c:pt idx="5">
                  <c:v>9</c:v>
                </c:pt>
                <c:pt idx="6">
                  <c:v>5</c:v>
                </c:pt>
                <c:pt idx="7">
                  <c:v>6</c:v>
                </c:pt>
              </c:numCache>
            </c:numRef>
          </c:val>
        </c:ser>
        <c:dLbls>
          <c:showLegendKey val="0"/>
          <c:showVal val="0"/>
          <c:showCatName val="0"/>
          <c:showSerName val="0"/>
          <c:showPercent val="0"/>
          <c:showBubbleSize val="0"/>
        </c:dLbls>
        <c:gapWidth val="150"/>
        <c:overlap val="100"/>
        <c:axId val="338544816"/>
        <c:axId val="338542016"/>
      </c:barChart>
      <c:catAx>
        <c:axId val="33854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38542016"/>
        <c:crosses val="autoZero"/>
        <c:auto val="1"/>
        <c:lblAlgn val="ctr"/>
        <c:lblOffset val="100"/>
        <c:noMultiLvlLbl val="0"/>
      </c:catAx>
      <c:valAx>
        <c:axId val="33854201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38544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Publications by Quarter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Publications!$A$1:$A$8</c:f>
              <c:strCache>
                <c:ptCount val="8"/>
                <c:pt idx="0">
                  <c:v>2015/16 Q3</c:v>
                </c:pt>
                <c:pt idx="1">
                  <c:v>2015/16 Q4</c:v>
                </c:pt>
                <c:pt idx="2">
                  <c:v>2016/17 Q1</c:v>
                </c:pt>
                <c:pt idx="3">
                  <c:v>2016/17 Q2</c:v>
                </c:pt>
                <c:pt idx="4">
                  <c:v>2016/17 Q3</c:v>
                </c:pt>
                <c:pt idx="5">
                  <c:v>2016/17 Q4</c:v>
                </c:pt>
                <c:pt idx="6">
                  <c:v>2017/18 Q1</c:v>
                </c:pt>
                <c:pt idx="7">
                  <c:v>2017/18 Q2</c:v>
                </c:pt>
              </c:strCache>
            </c:strRef>
          </c:cat>
          <c:val>
            <c:numRef>
              <c:f>Publications!$B$1:$B$8</c:f>
              <c:numCache>
                <c:formatCode>General</c:formatCode>
                <c:ptCount val="8"/>
                <c:pt idx="0">
                  <c:v>3</c:v>
                </c:pt>
                <c:pt idx="1">
                  <c:v>12</c:v>
                </c:pt>
                <c:pt idx="2">
                  <c:v>7</c:v>
                </c:pt>
                <c:pt idx="3">
                  <c:v>7</c:v>
                </c:pt>
                <c:pt idx="4">
                  <c:v>7</c:v>
                </c:pt>
                <c:pt idx="5">
                  <c:v>9</c:v>
                </c:pt>
                <c:pt idx="6">
                  <c:v>5</c:v>
                </c:pt>
                <c:pt idx="7">
                  <c:v>6</c:v>
                </c:pt>
              </c:numCache>
            </c:numRef>
          </c:val>
        </c:ser>
        <c:dLbls>
          <c:showLegendKey val="0"/>
          <c:showVal val="0"/>
          <c:showCatName val="0"/>
          <c:showSerName val="0"/>
          <c:showPercent val="0"/>
          <c:showBubbleSize val="0"/>
        </c:dLbls>
        <c:gapWidth val="150"/>
        <c:overlap val="100"/>
        <c:axId val="338994160"/>
        <c:axId val="238920512"/>
      </c:barChart>
      <c:catAx>
        <c:axId val="338994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920512"/>
        <c:crosses val="autoZero"/>
        <c:auto val="1"/>
        <c:lblAlgn val="ctr"/>
        <c:lblOffset val="100"/>
        <c:noMultiLvlLbl val="0"/>
      </c:catAx>
      <c:valAx>
        <c:axId val="2389205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38994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Average Science On-Time</a:t>
            </a:r>
            <a:r>
              <a:rPr lang="en-CA" baseline="0"/>
              <a:t> Minutes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'Average SOT'!$A$1:$A$13</c:f>
              <c:numCache>
                <c:formatCode>General</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numRef>
          </c:xVal>
          <c:yVal>
            <c:numRef>
              <c:f>'Average SOT'!$B$1:$B$13</c:f>
              <c:numCache>
                <c:formatCode>General</c:formatCode>
                <c:ptCount val="13"/>
                <c:pt idx="0">
                  <c:v>1519</c:v>
                </c:pt>
                <c:pt idx="1">
                  <c:v>1662</c:v>
                </c:pt>
                <c:pt idx="2">
                  <c:v>1708</c:v>
                </c:pt>
                <c:pt idx="3">
                  <c:v>1731</c:v>
                </c:pt>
                <c:pt idx="4">
                  <c:v>1693</c:v>
                </c:pt>
                <c:pt idx="5">
                  <c:v>1726</c:v>
                </c:pt>
                <c:pt idx="6">
                  <c:v>1736</c:v>
                </c:pt>
                <c:pt idx="7">
                  <c:v>1656</c:v>
                </c:pt>
                <c:pt idx="8">
                  <c:v>1415</c:v>
                </c:pt>
                <c:pt idx="9">
                  <c:v>1538</c:v>
                </c:pt>
                <c:pt idx="10">
                  <c:v>1608</c:v>
                </c:pt>
                <c:pt idx="11">
                  <c:v>1775</c:v>
                </c:pt>
                <c:pt idx="12">
                  <c:v>1963</c:v>
                </c:pt>
              </c:numCache>
            </c:numRef>
          </c:yVal>
          <c:smooth val="0"/>
        </c:ser>
        <c:dLbls>
          <c:showLegendKey val="0"/>
          <c:showVal val="0"/>
          <c:showCatName val="0"/>
          <c:showSerName val="0"/>
          <c:showPercent val="0"/>
          <c:showBubbleSize val="0"/>
        </c:dLbls>
        <c:axId val="338548736"/>
        <c:axId val="338545936"/>
      </c:scatterChart>
      <c:valAx>
        <c:axId val="338548736"/>
        <c:scaling>
          <c:orientation val="minMax"/>
          <c:max val="2017"/>
          <c:min val="200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545936"/>
        <c:crosses val="autoZero"/>
        <c:crossBetween val="midCat"/>
      </c:valAx>
      <c:valAx>
        <c:axId val="338545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5487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Average Science On-Time</a:t>
            </a:r>
            <a:r>
              <a:rPr lang="en-CA" baseline="0"/>
              <a:t> Minutes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'Average SOT'!$A$1:$A$13</c:f>
              <c:numCache>
                <c:formatCode>General</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numRef>
          </c:xVal>
          <c:yVal>
            <c:numRef>
              <c:f>'Average SOT'!$B$1:$B$13</c:f>
              <c:numCache>
                <c:formatCode>General</c:formatCode>
                <c:ptCount val="13"/>
                <c:pt idx="0">
                  <c:v>1519</c:v>
                </c:pt>
                <c:pt idx="1">
                  <c:v>1662</c:v>
                </c:pt>
                <c:pt idx="2">
                  <c:v>1708</c:v>
                </c:pt>
                <c:pt idx="3">
                  <c:v>1731</c:v>
                </c:pt>
                <c:pt idx="4">
                  <c:v>1693</c:v>
                </c:pt>
                <c:pt idx="5">
                  <c:v>1726</c:v>
                </c:pt>
                <c:pt idx="6">
                  <c:v>1736</c:v>
                </c:pt>
                <c:pt idx="7">
                  <c:v>1656</c:v>
                </c:pt>
                <c:pt idx="8">
                  <c:v>1415</c:v>
                </c:pt>
                <c:pt idx="9">
                  <c:v>1538</c:v>
                </c:pt>
                <c:pt idx="10">
                  <c:v>1608</c:v>
                </c:pt>
                <c:pt idx="11">
                  <c:v>1775</c:v>
                </c:pt>
                <c:pt idx="12">
                  <c:v>1963</c:v>
                </c:pt>
              </c:numCache>
            </c:numRef>
          </c:yVal>
          <c:smooth val="0"/>
        </c:ser>
        <c:dLbls>
          <c:showLegendKey val="0"/>
          <c:showVal val="0"/>
          <c:showCatName val="0"/>
          <c:showSerName val="0"/>
          <c:showPercent val="0"/>
          <c:showBubbleSize val="0"/>
        </c:dLbls>
        <c:axId val="238919952"/>
        <c:axId val="300461616"/>
      </c:scatterChart>
      <c:valAx>
        <c:axId val="238919952"/>
        <c:scaling>
          <c:orientation val="minMax"/>
          <c:max val="2017"/>
          <c:min val="200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0461616"/>
        <c:crosses val="autoZero"/>
        <c:crossBetween val="midCat"/>
      </c:valAx>
      <c:valAx>
        <c:axId val="30046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89199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ED313-8DD2-4FEE-A355-4FD6F7B2C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sjones</cp:lastModifiedBy>
  <cp:revision>2</cp:revision>
  <dcterms:created xsi:type="dcterms:W3CDTF">2018-01-09T03:16:00Z</dcterms:created>
  <dcterms:modified xsi:type="dcterms:W3CDTF">2018-01-09T03:16:00Z</dcterms:modified>
</cp:coreProperties>
</file>