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libri" w:cs="Calibri" w:eastAsia="Calibri" w:hAnsi="Calibri"/>
          <w:b/>
          <w:bCs/>
          <w:sz w:val="32"/>
          <w:szCs w:val="32"/>
        </w:rPr>
        <w:t xml:space="preserve">STEPHENS ADVANCED LLC</w:t>
      </w:r>
    </w:p>
    <w:p>
      <w:pPr>
        <w:spacing w:after="40"/>
        <w:jc w:val="center"/>
      </w:pPr>
      <w:r>
        <w:rPr>
          <w:rFonts w:ascii="Calibri" w:cs="Calibri" w:eastAsia="Calibri" w:hAnsi="Calibri"/>
          <w:i/>
          <w:iCs/>
          <w:sz w:val="22"/>
          <w:szCs w:val="22"/>
        </w:rPr>
        <w:t xml:space="preserve">Equipos de Supresión de Incendios y Seguridad</w:t>
      </w:r>
    </w:p>
    <w:p>
      <w:pPr>
        <w:spacing w:after="360"/>
        <w:jc w:val="center"/>
      </w:pPr>
      <w:r>
        <w:rPr>
          <w:rFonts w:ascii="Calibri" w:cs="Calibri" w:eastAsia="Calibri" w:hAnsi="Calibri"/>
          <w:sz w:val="20"/>
          <w:szCs w:val="20"/>
        </w:rPr>
        <w:t xml:space="preserve">(214) 994-4799  •  stephensadvanced.com  •  Dallas–Fort Worth, TX</w:t>
      </w:r>
    </w:p>
    <w:p>
      <w:pPr>
        <w:pBdr>
          <w:bottom w:val="single" w:color="F05A28" w:sz="8" w:space="4"/>
        </w:pBdr>
        <w:spacing w:after="120"/>
        <w:jc w:val="center"/>
      </w:pPr>
      <w:r>
        <w:rPr>
          <w:rFonts w:ascii="Calibri" w:cs="Calibri" w:eastAsia="Calibri" w:hAnsi="Calibri"/>
          <w:b/>
          <w:bCs/>
          <w:sz w:val="28"/>
          <w:szCs w:val="28"/>
        </w:rPr>
        <w:t xml:space="preserve">CONTRATO DE SERVICIO RECURRENTE</w:t>
      </w:r>
    </w:p>
    <w:p>
      <w:pPr>
        <w:spacing w:after="360"/>
        <w:jc w:val="center"/>
      </w:pPr>
      <w:r>
        <w:rPr>
          <w:rFonts w:ascii="Calibri" w:cs="Calibri" w:eastAsia="Calibri" w:hAnsi="Calibri"/>
          <w:i/>
          <w:iCs/>
          <w:color w:val="666666"/>
          <w:sz w:val="20"/>
          <w:szCs w:val="20"/>
        </w:rPr>
        <w:t xml:space="preserve">Este documento es una traducción al español del Contrato de Servicio Recurrente en inglés. En caso de conflicto entre las dos versiones, la versión en inglés prevalecerá.</w:t>
      </w:r>
    </w:p>
    <w:p>
      <w:pPr>
        <w:spacing w:after="120" w:line="300"/>
        <w:jc w:val="both"/>
      </w:pPr>
      <w:r>
        <w:rPr>
          <w:rFonts w:ascii="Calibri" w:cs="Calibri" w:eastAsia="Calibri" w:hAnsi="Calibri"/>
          <w:sz w:val="22"/>
          <w:szCs w:val="22"/>
        </w:rPr>
        <w:t xml:space="preserve">Este Contrato de Servicio Recurrente (el “Contrato”) se celebra entre Stephens Advanced LLC, una compañía de responsabilidad limitada de Texas (“Contratista,” “nosotros” o “nuestro”), y el cliente identificado a continuación (“Cliente” o “usted”), con vigencia a partir de la fecha de la firma electrónica del Cliente (la “Fecha de Vigencia”).</w:t>
      </w:r>
    </w:p>
    <w:p>
      <w:pPr>
        <w:spacing w:after="180"/>
      </w:pPr>
      <w:r>
        <w:rPr>
          <w:rFonts w:ascii="Calibri" w:cs="Calibri" w:eastAsia="Calibri" w:hAnsi="Calibri"/>
          <w:b/>
          <w:bCs/>
          <w:sz w:val="22"/>
          <w:szCs w:val="22"/>
        </w:rPr>
        <w:t xml:space="preserve">Cliente (nombre legal): </w:t>
      </w:r>
      <w:r>
        <w:rPr>
          <w:rFonts w:ascii="Calibri" w:cs="Calibri" w:eastAsia="Calibri" w:hAnsi="Calibri"/>
          <w:sz w:val="22"/>
          <w:szCs w:val="22"/>
        </w:rPr>
        <w:t xml:space="preserve">____________________________________________________________</w:t>
      </w:r>
    </w:p>
    <w:p>
      <w:pPr>
        <w:spacing w:after="180"/>
      </w:pPr>
      <w:r>
        <w:rPr>
          <w:rFonts w:ascii="Calibri" w:cs="Calibri" w:eastAsia="Calibri" w:hAnsi="Calibri"/>
          <w:b/>
          <w:bCs/>
          <w:sz w:val="22"/>
          <w:szCs w:val="22"/>
        </w:rPr>
        <w:t xml:space="preserve">DBA / Nombre comercial: </w:t>
      </w:r>
      <w:r>
        <w:rPr>
          <w:rFonts w:ascii="Calibri" w:cs="Calibri" w:eastAsia="Calibri" w:hAnsi="Calibri"/>
          <w:sz w:val="22"/>
          <w:szCs w:val="22"/>
        </w:rPr>
        <w:t xml:space="preserve">____________________________________________________________</w:t>
      </w:r>
    </w:p>
    <w:p>
      <w:pPr>
        <w:spacing w:after="180"/>
      </w:pPr>
      <w:r>
        <w:rPr>
          <w:rFonts w:ascii="Calibri" w:cs="Calibri" w:eastAsia="Calibri" w:hAnsi="Calibri"/>
          <w:b/>
          <w:bCs/>
          <w:sz w:val="22"/>
          <w:szCs w:val="22"/>
        </w:rPr>
        <w:t xml:space="preserve">Dirección de servicio: </w:t>
      </w:r>
      <w:r>
        <w:rPr>
          <w:rFonts w:ascii="Calibri" w:cs="Calibri" w:eastAsia="Calibri" w:hAnsi="Calibri"/>
          <w:sz w:val="22"/>
          <w:szCs w:val="22"/>
        </w:rPr>
        <w:t xml:space="preserve">____________________________________________________________</w:t>
      </w:r>
    </w:p>
    <w:p>
      <w:pPr>
        <w:spacing w:after="180"/>
      </w:pPr>
      <w:r>
        <w:rPr>
          <w:rFonts w:ascii="Calibri" w:cs="Calibri" w:eastAsia="Calibri" w:hAnsi="Calibri"/>
          <w:b/>
          <w:bCs/>
          <w:sz w:val="22"/>
          <w:szCs w:val="22"/>
        </w:rPr>
        <w:t xml:space="preserve">Dirección de facturación (si es diferente): </w:t>
      </w:r>
      <w:r>
        <w:rPr>
          <w:rFonts w:ascii="Calibri" w:cs="Calibri" w:eastAsia="Calibri" w:hAnsi="Calibri"/>
          <w:sz w:val="22"/>
          <w:szCs w:val="22"/>
        </w:rPr>
        <w:t xml:space="preserve">__________________________________________________</w:t>
      </w:r>
    </w:p>
    <w:p>
      <w:pPr>
        <w:spacing w:after="180"/>
      </w:pPr>
      <w:r>
        <w:rPr>
          <w:rFonts w:ascii="Calibri" w:cs="Calibri" w:eastAsia="Calibri" w:hAnsi="Calibri"/>
          <w:b/>
          <w:bCs/>
          <w:sz w:val="22"/>
          <w:szCs w:val="22"/>
        </w:rPr>
        <w:t xml:space="preserve">Nombre y cargo del contacto principal: </w:t>
      </w:r>
      <w:r>
        <w:rPr>
          <w:rFonts w:ascii="Calibri" w:cs="Calibri" w:eastAsia="Calibri" w:hAnsi="Calibri"/>
          <w:sz w:val="22"/>
          <w:szCs w:val="22"/>
        </w:rPr>
        <w:t xml:space="preserve">__________________________________________________</w:t>
      </w:r>
    </w:p>
    <w:p>
      <w:pPr>
        <w:spacing w:after="180"/>
      </w:pPr>
      <w:r>
        <w:rPr>
          <w:rFonts w:ascii="Calibri" w:cs="Calibri" w:eastAsia="Calibri" w:hAnsi="Calibri"/>
          <w:b/>
          <w:bCs/>
          <w:sz w:val="22"/>
          <w:szCs w:val="22"/>
        </w:rPr>
        <w:t xml:space="preserve">Teléfono principal: </w:t>
      </w:r>
      <w:r>
        <w:rPr>
          <w:rFonts w:ascii="Calibri" w:cs="Calibri" w:eastAsia="Calibri" w:hAnsi="Calibri"/>
          <w:sz w:val="22"/>
          <w:szCs w:val="22"/>
        </w:rPr>
        <w:t xml:space="preserve">________________________________________</w:t>
      </w:r>
    </w:p>
    <w:p>
      <w:pPr>
        <w:spacing w:after="180"/>
      </w:pPr>
      <w:r>
        <w:rPr>
          <w:rFonts w:ascii="Calibri" w:cs="Calibri" w:eastAsia="Calibri" w:hAnsi="Calibri"/>
          <w:b/>
          <w:bCs/>
          <w:sz w:val="22"/>
          <w:szCs w:val="22"/>
        </w:rPr>
        <w:t xml:space="preserve">Correo electrónico principal: </w:t>
      </w:r>
      <w:r>
        <w:rPr>
          <w:rFonts w:ascii="Calibri" w:cs="Calibri" w:eastAsia="Calibri" w:hAnsi="Calibri"/>
          <w:sz w:val="22"/>
          <w:szCs w:val="22"/>
        </w:rPr>
        <w:t xml:space="preserve">________________________________________</w:t>
      </w:r>
    </w:p>
    <w:p>
      <w:pPr>
        <w:spacing w:after="180"/>
      </w:pPr>
      <w:r>
        <w:rPr>
          <w:rFonts w:ascii="Calibri" w:cs="Calibri" w:eastAsia="Calibri" w:hAnsi="Calibri"/>
          <w:b/>
          <w:bCs/>
          <w:sz w:val="22"/>
          <w:szCs w:val="22"/>
        </w:rPr>
        <w:t xml:space="preserve">Contacto secundario (nombre y teléfono): </w:t>
      </w:r>
      <w:r>
        <w:rPr>
          <w:rFonts w:ascii="Calibri" w:cs="Calibri" w:eastAsia="Calibri" w:hAnsi="Calibri"/>
          <w:sz w:val="22"/>
          <w:szCs w:val="22"/>
        </w:rPr>
        <w:t xml:space="preserve">__________________________________________________</w:t>
      </w:r>
    </w:p>
    <w:p>
      <w:pPr>
        <w:spacing w:after="180"/>
      </w:pPr>
      <w:r>
        <w:rPr>
          <w:rFonts w:ascii="Calibri" w:cs="Calibri" w:eastAsia="Calibri" w:hAnsi="Calibri"/>
          <w:b/>
          <w:bCs/>
          <w:sz w:val="22"/>
          <w:szCs w:val="22"/>
        </w:rPr>
        <w:t xml:space="preserve">Horario de operación: </w:t>
      </w:r>
      <w:r>
        <w:rPr>
          <w:rFonts w:ascii="Calibri" w:cs="Calibri" w:eastAsia="Calibri" w:hAnsi="Calibri"/>
          <w:sz w:val="22"/>
          <w:szCs w:val="22"/>
        </w:rPr>
        <w:t xml:space="preserve">__________________________________________________</w:t>
      </w:r>
    </w:p>
    <w:p>
      <w:pPr>
        <w:spacing w:after="180"/>
      </w:pPr>
      <w:r>
        <w:rPr>
          <w:rFonts w:ascii="Calibri" w:cs="Calibri" w:eastAsia="Calibri" w:hAnsi="Calibri"/>
          <w:b/>
          <w:bCs/>
          <w:sz w:val="22"/>
          <w:szCs w:val="22"/>
        </w:rPr>
        <w:t xml:space="preserve">Día/hora preferida para servicio: </w:t>
      </w:r>
      <w:r>
        <w:rPr>
          <w:rFonts w:ascii="Calibri" w:cs="Calibri" w:eastAsia="Calibri" w:hAnsi="Calibri"/>
          <w:sz w:val="22"/>
          <w:szCs w:val="22"/>
        </w:rPr>
        <w:t xml:space="preserve">__________________________________________________</w:t>
      </w:r>
    </w:p>
    <w:p>
      <w:pPr>
        <w:pStyle w:val="Heading1"/>
        <w:spacing w:after="160" w:before="280"/>
      </w:pPr>
      <w:r>
        <w:t xml:space="preserve">1. Alcance de los Servicios</w:t>
      </w:r>
    </w:p>
    <w:p>
      <w:pPr>
        <w:spacing w:after="120" w:line="300"/>
        <w:jc w:val="both"/>
      </w:pPr>
      <w:r>
        <w:rPr>
          <w:rFonts w:ascii="Calibri" w:cs="Calibri" w:eastAsia="Calibri" w:hAnsi="Calibri"/>
          <w:b/>
          <w:bCs/>
          <w:sz w:val="22"/>
          <w:szCs w:val="22"/>
        </w:rPr>
        <w:t xml:space="preserve">1.1 Servicios Cubiertos. </w:t>
      </w:r>
      <w:r>
        <w:rPr>
          <w:rFonts w:ascii="Calibri" w:cs="Calibri" w:eastAsia="Calibri" w:hAnsi="Calibri"/>
          <w:sz w:val="22"/>
          <w:szCs w:val="22"/>
        </w:rPr>
        <w:t xml:space="preserve">El Contratista proporcionará servicios recurrentes de inspección, prueba y mantenimiento para las siguientes categorías de equipo en la dirección de servicio del Cliente, en las frecuencias y conforme a las normas requeridas por los códigos NFPA aplicables y la Autoridad Competente (“AHJ”):</w:t>
      </w:r>
    </w:p>
    <w:p>
      <w:pPr>
        <w:pStyle w:val="ListParagraph"/>
        <w:numPr>
          <w:ilvl w:val="0"/>
          <w:numId w:val="2"/>
        </w:numPr>
        <w:spacing w:after="80" w:line="300"/>
      </w:pPr>
      <w:r>
        <w:rPr>
          <w:rFonts w:ascii="Calibri" w:cs="Calibri" w:eastAsia="Calibri" w:hAnsi="Calibri"/>
          <w:sz w:val="22"/>
          <w:szCs w:val="22"/>
        </w:rPr>
        <w:t xml:space="preserve">Sistemas fijos de supresión de incendios (campana de cocina, industrial o de riesgo especial), según NFPA 17 / 17A / 96, típicamente semestral.</w:t>
      </w:r>
    </w:p>
    <w:p>
      <w:pPr>
        <w:pStyle w:val="ListParagraph"/>
        <w:numPr>
          <w:ilvl w:val="0"/>
          <w:numId w:val="2"/>
        </w:numPr>
        <w:spacing w:after="80" w:line="300"/>
      </w:pPr>
      <w:r>
        <w:rPr>
          <w:rFonts w:ascii="Calibri" w:cs="Calibri" w:eastAsia="Calibri" w:hAnsi="Calibri"/>
          <w:sz w:val="22"/>
          <w:szCs w:val="22"/>
        </w:rPr>
        <w:t xml:space="preserve">Extintores portátiles de incendios, según NFPA 10, típicamente inspección anual con mantenimiento interno y prueba hidrostática en los intervalos requeridos por NFPA 10 y la ley de Texas.</w:t>
      </w:r>
    </w:p>
    <w:p>
      <w:pPr>
        <w:spacing w:after="120" w:line="300"/>
        <w:jc w:val="both"/>
      </w:pPr>
      <w:r>
        <w:rPr>
          <w:rFonts w:ascii="Calibri" w:cs="Calibri" w:eastAsia="Calibri" w:hAnsi="Calibri"/>
          <w:b/>
          <w:bCs/>
          <w:sz w:val="22"/>
          <w:szCs w:val="22"/>
        </w:rPr>
        <w:t xml:space="preserve">1.2 Estándar de Mantenimiento Obligatorio por Código. </w:t>
      </w:r>
      <w:r>
        <w:rPr>
          <w:rFonts w:ascii="Calibri" w:cs="Calibri" w:eastAsia="Calibri" w:hAnsi="Calibri"/>
          <w:sz w:val="22"/>
          <w:szCs w:val="22"/>
        </w:rPr>
        <w:t xml:space="preserve">El Contratista está autorizado a realizar, sin aprobación adicional del Cliente, cualquier actividad de inspección, prueba, etiquetado, mantenimiento o servicio que sea requerida por las ediciones vigentes de NFPA 10, NFPA 17, NFPA 17A, NFPA 96, el Código de Seguros de Texas y cualquier requisito aplicable de la AHJ para los Servicios Cubiertos. Esto incluye, sin limitación, inspecciones anuales, inspecciones semestrales, mantenimiento interno de seis años, prueba hidrostática de doce años y reemplazo de sellos de seguridad, pasadores de tracción y etiquetas de inspección. El Contratista no realizará ningún trabajo más allá de lo exigido por el código aplicable sin la autorización previa por escrito del Cliente.</w:t>
      </w:r>
    </w:p>
    <w:p>
      <w:pPr>
        <w:spacing w:after="120" w:line="300"/>
        <w:jc w:val="both"/>
      </w:pPr>
      <w:r>
        <w:rPr>
          <w:rFonts w:ascii="Calibri" w:cs="Calibri" w:eastAsia="Calibri" w:hAnsi="Calibri"/>
          <w:b/>
          <w:bCs/>
          <w:sz w:val="22"/>
          <w:szCs w:val="22"/>
        </w:rPr>
        <w:t xml:space="preserve">1.3 Servicios Adicionales Opcionales. </w:t>
      </w:r>
      <w:r>
        <w:rPr>
          <w:rFonts w:ascii="Calibri" w:cs="Calibri" w:eastAsia="Calibri" w:hAnsi="Calibri"/>
          <w:sz w:val="22"/>
          <w:szCs w:val="22"/>
        </w:rPr>
        <w:t xml:space="preserve">El Cliente puede elegir agregar cualquiera de los siguientes servicios a este Contrato en cualquier momento mediante la firma de un addendum o la aceptación del servicio adicional dentro del portal del Contratista:</w:t>
      </w:r>
    </w:p>
    <w:p>
      <w:pPr>
        <w:pStyle w:val="ListParagraph"/>
        <w:numPr>
          <w:ilvl w:val="0"/>
          <w:numId w:val="2"/>
        </w:numPr>
        <w:spacing w:after="80" w:line="300"/>
      </w:pPr>
      <w:r>
        <w:rPr>
          <w:rFonts w:ascii="Calibri" w:cs="Calibri" w:eastAsia="Calibri" w:hAnsi="Calibri"/>
          <w:sz w:val="22"/>
          <w:szCs w:val="22"/>
        </w:rPr>
        <w:t xml:space="preserve">Inspección y prueba de iluminación de emergencia y salida</w:t>
      </w:r>
    </w:p>
    <w:p>
      <w:pPr>
        <w:pStyle w:val="ListParagraph"/>
        <w:numPr>
          <w:ilvl w:val="0"/>
          <w:numId w:val="2"/>
        </w:numPr>
        <w:spacing w:after="80" w:line="300"/>
      </w:pPr>
      <w:r>
        <w:rPr>
          <w:rFonts w:ascii="Calibri" w:cs="Calibri" w:eastAsia="Calibri" w:hAnsi="Calibri"/>
          <w:sz w:val="22"/>
          <w:szCs w:val="22"/>
        </w:rPr>
        <w:t xml:space="preserve">Inspección y prueba de sistema de alarma contra incendios</w:t>
      </w:r>
    </w:p>
    <w:p>
      <w:pPr>
        <w:pStyle w:val="ListParagraph"/>
        <w:numPr>
          <w:ilvl w:val="0"/>
          <w:numId w:val="2"/>
        </w:numPr>
        <w:spacing w:after="80" w:line="300"/>
      </w:pPr>
      <w:r>
        <w:rPr>
          <w:rFonts w:ascii="Calibri" w:cs="Calibri" w:eastAsia="Calibri" w:hAnsi="Calibri"/>
          <w:sz w:val="22"/>
          <w:szCs w:val="22"/>
        </w:rPr>
        <w:t xml:space="preserve">Inspección y prueba de sistema de rociadores automáticos</w:t>
      </w:r>
    </w:p>
    <w:p>
      <w:pPr>
        <w:pStyle w:val="ListParagraph"/>
        <w:numPr>
          <w:ilvl w:val="0"/>
          <w:numId w:val="2"/>
        </w:numPr>
        <w:spacing w:after="80" w:line="300"/>
      </w:pPr>
      <w:r>
        <w:rPr>
          <w:rFonts w:ascii="Calibri" w:cs="Calibri" w:eastAsia="Calibri" w:hAnsi="Calibri"/>
          <w:sz w:val="22"/>
          <w:szCs w:val="22"/>
        </w:rPr>
        <w:t xml:space="preserve">Limpieza de campana de cocina</w:t>
      </w:r>
    </w:p>
    <w:p>
      <w:pPr>
        <w:pStyle w:val="ListParagraph"/>
        <w:numPr>
          <w:ilvl w:val="0"/>
          <w:numId w:val="2"/>
        </w:numPr>
        <w:spacing w:after="80" w:line="300"/>
      </w:pPr>
      <w:r>
        <w:rPr>
          <w:rFonts w:ascii="Calibri" w:cs="Calibri" w:eastAsia="Calibri" w:hAnsi="Calibri"/>
          <w:sz w:val="22"/>
          <w:szCs w:val="22"/>
        </w:rPr>
        <w:t xml:space="preserve">Inspecciones eléctricas u otros servicios ofrecidos por el Contratista</w:t>
      </w:r>
    </w:p>
    <w:p>
      <w:pPr>
        <w:spacing w:after="120" w:line="300"/>
        <w:jc w:val="both"/>
      </w:pPr>
      <w:r>
        <w:rPr>
          <w:rFonts w:ascii="Calibri" w:cs="Calibri" w:eastAsia="Calibri" w:hAnsi="Calibri"/>
          <w:b/>
          <w:bCs/>
          <w:sz w:val="22"/>
          <w:szCs w:val="22"/>
        </w:rPr>
        <w:t xml:space="preserve">1.4 No Incluido. </w:t>
      </w:r>
      <w:r>
        <w:rPr>
          <w:rFonts w:ascii="Calibri" w:cs="Calibri" w:eastAsia="Calibri" w:hAnsi="Calibri"/>
          <w:sz w:val="22"/>
          <w:szCs w:val="22"/>
        </w:rPr>
        <w:t xml:space="preserve">A menos que se acuerde por separado y por escrito, lo siguiente no está incluido en las tarifas recurrentes y se cotizará como trabajo separado: reparaciones, piezas, recargas, reemplazos de sistemas, actualizaciones UL-300 o actualizaciones de sistemas exigidas por código, limpieza y recarga después de descarga, servicio de emergencia o fuera de horario (ver Sección 5), y cualquier mano de obra o material más allá de lo requerido por los códigos aplicables. El Contratista proporcionará un presupuesto por escrito para cualquier trabajo adicional y no lo realizará sin la autorización del Cliente.</w:t>
      </w:r>
    </w:p>
    <w:p>
      <w:pPr>
        <w:spacing w:after="120" w:line="300"/>
        <w:jc w:val="both"/>
      </w:pPr>
      <w:r>
        <w:rPr>
          <w:rFonts w:ascii="Calibri" w:cs="Calibri" w:eastAsia="Calibri" w:hAnsi="Calibri"/>
          <w:b/>
          <w:bCs/>
          <w:sz w:val="22"/>
          <w:szCs w:val="22"/>
        </w:rPr>
        <w:t xml:space="preserve">1.5 Referencias de Código. </w:t>
      </w:r>
      <w:r>
        <w:rPr>
          <w:rFonts w:ascii="Calibri" w:cs="Calibri" w:eastAsia="Calibri" w:hAnsi="Calibri"/>
          <w:sz w:val="22"/>
          <w:szCs w:val="22"/>
        </w:rPr>
        <w:t xml:space="preserve">Los servicios se realizan de acuerdo con las ediciones vigentes de NFPA 10, NFPA 17, NFPA 17A, NFPA 96, NFPA 25, NFPA 72, el Código de Seguros de Texas y cualquier otra norma aplicable adoptada por la AHJ. El Contratista proporcionará un informe detallado de inspección y certificado de inspección al finalizar cada visita.</w:t>
      </w:r>
    </w:p>
    <w:p>
      <w:pPr>
        <w:pStyle w:val="Heading1"/>
        <w:spacing w:after="160" w:before="280"/>
      </w:pPr>
      <w:r>
        <w:t xml:space="preserve">2. Servicio Prioritario</w:t>
      </w:r>
    </w:p>
    <w:p>
      <w:pPr>
        <w:spacing w:after="120" w:line="300"/>
        <w:jc w:val="both"/>
      </w:pPr>
      <w:r>
        <w:rPr>
          <w:rFonts w:ascii="Calibri" w:cs="Calibri" w:eastAsia="Calibri" w:hAnsi="Calibri"/>
          <w:sz w:val="22"/>
          <w:szCs w:val="22"/>
        </w:rPr>
        <w:t xml:space="preserve">Los Clientes con un Contrato de Servicio Recurrente activo reciben programación prioritaria sobre los clientes sin contrato. Esto significa que los clientes con contrato son programados primero para visitas de rutina, reciben respuesta prioritaria para llamadas de servicio de emergencia y reciben la primera disponibilidad para solicitudes de servicios adicionales. Este es un beneficio fundamental de este Contrato y permanece vigente durante toda la duración del mismo.</w:t>
      </w:r>
    </w:p>
    <w:p>
      <w:pPr>
        <w:pStyle w:val="Heading1"/>
        <w:spacing w:after="160" w:before="280"/>
      </w:pPr>
      <w:r>
        <w:t xml:space="preserve">3. Vigencia y Terminación</w:t>
      </w:r>
    </w:p>
    <w:p>
      <w:pPr>
        <w:spacing w:after="120" w:line="300"/>
        <w:jc w:val="both"/>
      </w:pPr>
      <w:r>
        <w:rPr>
          <w:rFonts w:ascii="Calibri" w:cs="Calibri" w:eastAsia="Calibri" w:hAnsi="Calibri"/>
          <w:b/>
          <w:bCs/>
          <w:sz w:val="22"/>
          <w:szCs w:val="22"/>
        </w:rPr>
        <w:t xml:space="preserve">3.1 Vigencia. </w:t>
      </w:r>
      <w:r>
        <w:rPr>
          <w:rFonts w:ascii="Calibri" w:cs="Calibri" w:eastAsia="Calibri" w:hAnsi="Calibri"/>
          <w:sz w:val="22"/>
          <w:szCs w:val="22"/>
        </w:rPr>
        <w:t xml:space="preserve">Este Contrato comienza en la Fecha de Vigencia y continúa de manera indefinida hasta que se termine de acuerdo con esta Sección 3.</w:t>
      </w:r>
    </w:p>
    <w:p>
      <w:pPr>
        <w:spacing w:after="120" w:line="300"/>
        <w:jc w:val="both"/>
      </w:pPr>
      <w:r>
        <w:rPr>
          <w:rFonts w:ascii="Calibri" w:cs="Calibri" w:eastAsia="Calibri" w:hAnsi="Calibri"/>
          <w:b/>
          <w:bCs/>
          <w:sz w:val="22"/>
          <w:szCs w:val="22"/>
        </w:rPr>
        <w:t xml:space="preserve">3.2 Terminación por Cualquiera de las Partes. </w:t>
      </w:r>
      <w:r>
        <w:rPr>
          <w:rFonts w:ascii="Calibri" w:cs="Calibri" w:eastAsia="Calibri" w:hAnsi="Calibri"/>
          <w:sz w:val="22"/>
          <w:szCs w:val="22"/>
        </w:rPr>
        <w:t xml:space="preserve">Cualquiera de las partes puede terminar este Contrato en cualquier momento proporcionando un aviso previo por escrito de treinta (30) días a la otra parte. El aviso del Cliente puede enviarse a través del portal del Contratista, por correo electrónico a la dirección publicada en stephensadvanced.com, o por correo certificado a la dirección comercial del Contratista.</w:t>
      </w:r>
    </w:p>
    <w:p>
      <w:pPr>
        <w:spacing w:after="120" w:line="300"/>
        <w:jc w:val="both"/>
      </w:pPr>
      <w:r>
        <w:rPr>
          <w:rFonts w:ascii="Calibri" w:cs="Calibri" w:eastAsia="Calibri" w:hAnsi="Calibri"/>
          <w:b/>
          <w:bCs/>
          <w:sz w:val="22"/>
          <w:szCs w:val="22"/>
        </w:rPr>
        <w:t xml:space="preserve">3.3 Visitas Programadas Durante el Período de Aviso. </w:t>
      </w:r>
      <w:r>
        <w:rPr>
          <w:rFonts w:ascii="Calibri" w:cs="Calibri" w:eastAsia="Calibri" w:hAnsi="Calibri"/>
          <w:sz w:val="22"/>
          <w:szCs w:val="22"/>
        </w:rPr>
        <w:t xml:space="preserve">Cualquier visita de servicio que haya sido programada o que sea requerida por el ciclo de inspección NFPA aplicable durante el período de aviso de treinta días se realizará y facturará a la tarifa contratada. La terminación no exime al Cliente de la obligación de pagar por servicios prestados, cargos por viaje incurridos, o visitas programadas o requeridas por código antes de la fecha efectiva de terminación.</w:t>
      </w:r>
    </w:p>
    <w:p>
      <w:pPr>
        <w:spacing w:after="120" w:line="300"/>
        <w:jc w:val="both"/>
      </w:pPr>
      <w:r>
        <w:rPr>
          <w:rFonts w:ascii="Calibri" w:cs="Calibri" w:eastAsia="Calibri" w:hAnsi="Calibri"/>
          <w:b/>
          <w:bCs/>
          <w:sz w:val="22"/>
          <w:szCs w:val="22"/>
        </w:rPr>
        <w:t xml:space="preserve">3.4 Terminación por Causa. </w:t>
      </w:r>
      <w:r>
        <w:rPr>
          <w:rFonts w:ascii="Calibri" w:cs="Calibri" w:eastAsia="Calibri" w:hAnsi="Calibri"/>
          <w:sz w:val="22"/>
          <w:szCs w:val="22"/>
        </w:rPr>
        <w:t xml:space="preserve">El Contratista puede terminar este Contrato inmediatamente mediante aviso por escrito si el Cliente (a) no paga cualquier monto adeudado y no subsana dentro de los quince (15) días de la demanda escrita, (b) niega al Contratista acceso razonable para realizar los servicios requeridos en dos o más visitas programadas consecutivas, o (c) incumple materialmente cualquier disposición de este Contrato.</w:t>
      </w:r>
    </w:p>
    <w:p>
      <w:pPr>
        <w:pStyle w:val="Heading1"/>
        <w:spacing w:after="160" w:before="280"/>
      </w:pPr>
      <w:r>
        <w:t xml:space="preserve">4. Programación y Acceso</w:t>
      </w:r>
    </w:p>
    <w:p>
      <w:pPr>
        <w:spacing w:after="120" w:line="300"/>
        <w:jc w:val="both"/>
      </w:pPr>
      <w:r>
        <w:rPr>
          <w:rFonts w:ascii="Calibri" w:cs="Calibri" w:eastAsia="Calibri" w:hAnsi="Calibri"/>
          <w:b/>
          <w:bCs/>
          <w:sz w:val="22"/>
          <w:szCs w:val="22"/>
        </w:rPr>
        <w:t xml:space="preserve">4.1 Programación Automatizada. </w:t>
      </w:r>
      <w:r>
        <w:rPr>
          <w:rFonts w:ascii="Calibri" w:cs="Calibri" w:eastAsia="Calibri" w:hAnsi="Calibri"/>
          <w:sz w:val="22"/>
          <w:szCs w:val="22"/>
        </w:rPr>
        <w:t xml:space="preserve">El Contratista programará visitas de servicio recurrentes en los intervalos requeridos por las normas NFPA aplicables. La programación se realiza automáticamente a través del sistema de operaciones del Contratista y, cuando sea posible, durante el horario comercial normal del Cliente.</w:t>
      </w:r>
    </w:p>
    <w:p>
      <w:pPr>
        <w:spacing w:after="120" w:line="300"/>
        <w:jc w:val="both"/>
      </w:pPr>
      <w:r>
        <w:rPr>
          <w:rFonts w:ascii="Calibri" w:cs="Calibri" w:eastAsia="Calibri" w:hAnsi="Calibri"/>
          <w:b/>
          <w:bCs/>
          <w:sz w:val="22"/>
          <w:szCs w:val="22"/>
        </w:rPr>
        <w:t xml:space="preserve">4.2 Horario de Operación del Cliente. </w:t>
      </w:r>
      <w:r>
        <w:rPr>
          <w:rFonts w:ascii="Calibri" w:cs="Calibri" w:eastAsia="Calibri" w:hAnsi="Calibri"/>
          <w:sz w:val="22"/>
          <w:szCs w:val="22"/>
        </w:rPr>
        <w:t xml:space="preserve">El Cliente proporcionará y mantendrá actualizado su horario normal de operación y ventanas de servicio preferidas.</w:t>
      </w:r>
    </w:p>
    <w:p>
      <w:pPr>
        <w:spacing w:after="120" w:line="300"/>
        <w:jc w:val="both"/>
      </w:pPr>
      <w:r>
        <w:rPr>
          <w:rFonts w:ascii="Calibri" w:cs="Calibri" w:eastAsia="Calibri" w:hAnsi="Calibri"/>
          <w:b/>
          <w:bCs/>
          <w:sz w:val="22"/>
          <w:szCs w:val="22"/>
        </w:rPr>
        <w:t xml:space="preserve">4.3 Aviso Anticipado. </w:t>
      </w:r>
      <w:r>
        <w:rPr>
          <w:rFonts w:ascii="Calibri" w:cs="Calibri" w:eastAsia="Calibri" w:hAnsi="Calibri"/>
          <w:sz w:val="22"/>
          <w:szCs w:val="22"/>
        </w:rPr>
        <w:t xml:space="preserve">El Cliente recibirá un recordatorio automatizado aproximadamente siete (7) días antes de cada visita programada, una confirmación aproximadamente veinticuatro (24) horas antes de la visita, y una notificación de “en camino” el día del servicio. Estas notificaciones pueden entregarse por SMS, correo electrónico, o ambos.</w:t>
      </w:r>
    </w:p>
    <w:p>
      <w:pPr>
        <w:spacing w:after="120" w:line="300"/>
        <w:jc w:val="both"/>
      </w:pPr>
      <w:r>
        <w:rPr>
          <w:rFonts w:ascii="Calibri" w:cs="Calibri" w:eastAsia="Calibri" w:hAnsi="Calibri"/>
          <w:b/>
          <w:bCs/>
          <w:sz w:val="22"/>
          <w:szCs w:val="22"/>
        </w:rPr>
        <w:t xml:space="preserve">4.4 Acceso. </w:t>
      </w:r>
      <w:r>
        <w:rPr>
          <w:rFonts w:ascii="Calibri" w:cs="Calibri" w:eastAsia="Calibri" w:hAnsi="Calibri"/>
          <w:sz w:val="22"/>
          <w:szCs w:val="22"/>
        </w:rPr>
        <w:t xml:space="preserve">El Cliente proporcionará al Contratista acceso razonable a todos los equipos y áreas necesarios para realizar los Servicios Cubiertos durante la visita programada.</w:t>
      </w:r>
    </w:p>
    <w:p>
      <w:pPr>
        <w:spacing w:after="120" w:line="300"/>
        <w:jc w:val="both"/>
      </w:pPr>
      <w:r>
        <w:rPr>
          <w:rFonts w:ascii="Calibri" w:cs="Calibri" w:eastAsia="Calibri" w:hAnsi="Calibri"/>
          <w:b/>
          <w:bCs/>
          <w:sz w:val="22"/>
          <w:szCs w:val="22"/>
        </w:rPr>
        <w:t xml:space="preserve">4.5 Visitas Perdidas y Cargo por Viaje. </w:t>
      </w:r>
      <w:r>
        <w:rPr>
          <w:rFonts w:ascii="Calibri" w:cs="Calibri" w:eastAsia="Calibri" w:hAnsi="Calibri"/>
          <w:sz w:val="22"/>
          <w:szCs w:val="22"/>
        </w:rPr>
        <w:t xml:space="preserve">Si el Contratista llega a la hora programada y no puede realizar los servicios porque el Cliente no está presente, la ubicación está cerrada, el equipo es inaccesible, o el acceso es denegado de otra manera, se cobrará al Cliente un cargo por viaje de ciento veinticinco dólares ($125.00) y la visita será reprogramada. El Cliente puede reprogramar sin cargo por viaje proporcionando al Contratista al menos cuarenta y ocho (48) horas de aviso.</w:t>
      </w:r>
    </w:p>
    <w:p>
      <w:pPr>
        <w:pStyle w:val="Heading1"/>
        <w:spacing w:after="160" w:before="280"/>
      </w:pPr>
      <w:r>
        <w:t xml:space="preserve">5. Servicio de Emergencia y Fuera de Horario</w:t>
      </w:r>
    </w:p>
    <w:p>
      <w:pPr>
        <w:spacing w:after="120" w:line="300"/>
        <w:jc w:val="both"/>
      </w:pPr>
      <w:r>
        <w:rPr>
          <w:rFonts w:ascii="Calibri" w:cs="Calibri" w:eastAsia="Calibri" w:hAnsi="Calibri"/>
          <w:b/>
          <w:bCs/>
          <w:sz w:val="22"/>
          <w:szCs w:val="22"/>
        </w:rPr>
        <w:t xml:space="preserve">5.1 Disponibilidad. </w:t>
      </w:r>
      <w:r>
        <w:rPr>
          <w:rFonts w:ascii="Calibri" w:cs="Calibri" w:eastAsia="Calibri" w:hAnsi="Calibri"/>
          <w:sz w:val="22"/>
          <w:szCs w:val="22"/>
        </w:rPr>
        <w:t xml:space="preserve">El Contratista ofrece servicio de emergencia y fuera de horario a los clientes con contrato según disponibilidad. El Contratista no garantiza ningún tiempo de respuesta específico para llamadas de emergencia.</w:t>
      </w:r>
    </w:p>
    <w:p>
      <w:pPr>
        <w:spacing w:after="120" w:line="300"/>
        <w:jc w:val="both"/>
      </w:pPr>
      <w:r>
        <w:rPr>
          <w:rFonts w:ascii="Calibri" w:cs="Calibri" w:eastAsia="Calibri" w:hAnsi="Calibri"/>
          <w:b/>
          <w:bCs/>
          <w:sz w:val="22"/>
          <w:szCs w:val="22"/>
        </w:rPr>
        <w:t xml:space="preserve">5.2 Cargos por Servicio de Emergencia. </w:t>
      </w:r>
      <w:r>
        <w:rPr>
          <w:rFonts w:ascii="Calibri" w:cs="Calibri" w:eastAsia="Calibri" w:hAnsi="Calibri"/>
          <w:sz w:val="22"/>
          <w:szCs w:val="22"/>
        </w:rPr>
        <w:t xml:space="preserve">El servicio de emergencia y fuera de horario está sujeto a los siguientes cargos, además del costo de piezas, materiales o servicios realizados:</w:t>
      </w:r>
    </w:p>
    <w:p>
      <w:pPr>
        <w:pStyle w:val="ListParagraph"/>
        <w:numPr>
          <w:ilvl w:val="0"/>
          <w:numId w:val="2"/>
        </w:numPr>
        <w:spacing w:after="80" w:line="300"/>
      </w:pPr>
      <w:r>
        <w:rPr>
          <w:rFonts w:ascii="Calibri" w:cs="Calibri" w:eastAsia="Calibri" w:hAnsi="Calibri"/>
          <w:sz w:val="22"/>
          <w:szCs w:val="22"/>
        </w:rPr>
        <w:t xml:space="preserve">Llamada fuera de horario o fin de semana: quinientos dólares ($500.00)</w:t>
      </w:r>
    </w:p>
    <w:p>
      <w:pPr>
        <w:pStyle w:val="ListParagraph"/>
        <w:numPr>
          <w:ilvl w:val="0"/>
          <w:numId w:val="2"/>
        </w:numPr>
        <w:spacing w:after="80" w:line="300"/>
      </w:pPr>
      <w:r>
        <w:rPr>
          <w:rFonts w:ascii="Calibri" w:cs="Calibri" w:eastAsia="Calibri" w:hAnsi="Calibri"/>
          <w:sz w:val="22"/>
          <w:szCs w:val="22"/>
        </w:rPr>
        <w:t xml:space="preserve">Llamada en día festivo: mil dólares ($1,000.00)</w:t>
      </w:r>
    </w:p>
    <w:p>
      <w:pPr>
        <w:spacing w:after="120" w:line="300"/>
        <w:jc w:val="both"/>
      </w:pPr>
      <w:r>
        <w:rPr>
          <w:rFonts w:ascii="Calibri" w:cs="Calibri" w:eastAsia="Calibri" w:hAnsi="Calibri"/>
          <w:b/>
          <w:bCs/>
          <w:sz w:val="22"/>
          <w:szCs w:val="22"/>
        </w:rPr>
        <w:t xml:space="preserve">5.3 Autorización. </w:t>
      </w:r>
      <w:r>
        <w:rPr>
          <w:rFonts w:ascii="Calibri" w:cs="Calibri" w:eastAsia="Calibri" w:hAnsi="Calibri"/>
          <w:sz w:val="22"/>
          <w:szCs w:val="22"/>
        </w:rPr>
        <w:t xml:space="preserve">Los cargos por servicio de emergencia se comunicarán al Cliente antes del despacho. El Contratista no despachará sin la autorización verbal o escrita del Cliente del cargo aplicable.</w:t>
      </w:r>
    </w:p>
    <w:p>
      <w:pPr>
        <w:pStyle w:val="Heading1"/>
        <w:spacing w:after="160" w:before="280"/>
      </w:pPr>
      <w:r>
        <w:t xml:space="preserve">6. Tarifas y Precios</w:t>
      </w:r>
    </w:p>
    <w:p>
      <w:pPr>
        <w:spacing w:after="120" w:line="300"/>
        <w:jc w:val="both"/>
      </w:pPr>
      <w:r>
        <w:rPr>
          <w:rFonts w:ascii="Calibri" w:cs="Calibri" w:eastAsia="Calibri" w:hAnsi="Calibri"/>
          <w:b/>
          <w:bCs/>
          <w:sz w:val="22"/>
          <w:szCs w:val="22"/>
        </w:rPr>
        <w:t xml:space="preserve">6.1 Precio por Visita. </w:t>
      </w:r>
      <w:r>
        <w:rPr>
          <w:rFonts w:ascii="Calibri" w:cs="Calibri" w:eastAsia="Calibri" w:hAnsi="Calibri"/>
          <w:sz w:val="22"/>
          <w:szCs w:val="22"/>
        </w:rPr>
        <w:t xml:space="preserve">Las tarifas de cada visita se cobran por servicio realizado y por unidad de equipo, según se establece en el programa de precios entregado al Cliente al momento de la firma (el “Programa de Precios,” adjunto como Anexo B).</w:t>
      </w:r>
    </w:p>
    <w:p>
      <w:pPr>
        <w:spacing w:after="120" w:line="300"/>
        <w:jc w:val="both"/>
      </w:pPr>
      <w:r>
        <w:rPr>
          <w:rFonts w:ascii="Calibri" w:cs="Calibri" w:eastAsia="Calibri" w:hAnsi="Calibri"/>
          <w:b/>
          <w:bCs/>
          <w:sz w:val="22"/>
          <w:szCs w:val="22"/>
        </w:rPr>
        <w:t xml:space="preserve">6.2 Precio Fijo. </w:t>
      </w:r>
      <w:r>
        <w:rPr>
          <w:rFonts w:ascii="Calibri" w:cs="Calibri" w:eastAsia="Calibri" w:hAnsi="Calibri"/>
          <w:sz w:val="22"/>
          <w:szCs w:val="22"/>
        </w:rPr>
        <w:t xml:space="preserve">Los precios por visita en el Programa de Precios están fijados durante la vigencia de este Contrato y no aumentarán excepto (a) por acuerdo mutuo por escrito, (b) al agregar nuevos servicios o equipos, o (c) ante un cambio en las normas NFPA o requisitos de la AHJ que aumente materialmente el costo, en cuyo caso el Contratista proporcionará sesenta (60) días de aviso por escrito.</w:t>
      </w:r>
    </w:p>
    <w:p>
      <w:pPr>
        <w:pStyle w:val="Heading1"/>
        <w:spacing w:after="160" w:before="280"/>
      </w:pPr>
      <w:r>
        <w:t xml:space="preserve">7. Facturación y Pago</w:t>
      </w:r>
    </w:p>
    <w:p>
      <w:pPr>
        <w:spacing w:after="120" w:line="300"/>
        <w:jc w:val="both"/>
      </w:pPr>
      <w:r>
        <w:rPr>
          <w:rFonts w:ascii="Calibri" w:cs="Calibri" w:eastAsia="Calibri" w:hAnsi="Calibri"/>
          <w:b/>
          <w:bCs/>
          <w:sz w:val="22"/>
          <w:szCs w:val="22"/>
        </w:rPr>
        <w:t xml:space="preserve">7.1 Factura al Completar. </w:t>
      </w:r>
      <w:r>
        <w:rPr>
          <w:rFonts w:ascii="Calibri" w:cs="Calibri" w:eastAsia="Calibri" w:hAnsi="Calibri"/>
          <w:sz w:val="22"/>
          <w:szCs w:val="22"/>
        </w:rPr>
        <w:t xml:space="preserve">Al completar cada visita, el Contratista generará una factura detallada. El Cliente revisará y firmará electrónicamente la factura como reconocimiento de que el trabajo fue realizado. El Contratista no cobrará ningún método de pago sin una factura firmada.</w:t>
      </w:r>
    </w:p>
    <w:p>
      <w:pPr>
        <w:spacing w:after="120" w:line="300"/>
        <w:jc w:val="both"/>
      </w:pPr>
      <w:r>
        <w:rPr>
          <w:rFonts w:ascii="Calibri" w:cs="Calibri" w:eastAsia="Calibri" w:hAnsi="Calibri"/>
          <w:b/>
          <w:bCs/>
          <w:sz w:val="22"/>
          <w:szCs w:val="22"/>
        </w:rPr>
        <w:t xml:space="preserve">7.2 Cobro Automático. </w:t>
      </w:r>
      <w:r>
        <w:rPr>
          <w:rFonts w:ascii="Calibri" w:cs="Calibri" w:eastAsia="Calibri" w:hAnsi="Calibri"/>
          <w:sz w:val="22"/>
          <w:szCs w:val="22"/>
        </w:rPr>
        <w:t xml:space="preserve">El Cliente autoriza al Contratista a cobrar el método de pago registrado por el monto de cada factura firmada.</w:t>
      </w:r>
    </w:p>
    <w:p>
      <w:pPr>
        <w:spacing w:after="120" w:line="300"/>
        <w:jc w:val="both"/>
      </w:pPr>
      <w:r>
        <w:rPr>
          <w:rFonts w:ascii="Calibri" w:cs="Calibri" w:eastAsia="Calibri" w:hAnsi="Calibri"/>
          <w:b/>
          <w:bCs/>
          <w:sz w:val="22"/>
          <w:szCs w:val="22"/>
        </w:rPr>
        <w:t xml:space="preserve">7.3 Opción de Factura Tradicional (Descuento por Pago Inmediato). </w:t>
      </w:r>
      <w:r>
        <w:rPr>
          <w:rFonts w:ascii="Calibri" w:cs="Calibri" w:eastAsia="Calibri" w:hAnsi="Calibri"/>
          <w:sz w:val="22"/>
          <w:szCs w:val="22"/>
        </w:rPr>
        <w:t xml:space="preserve">El Cliente puede optar por recibir una factura tradicional en lugar del cobro automático. Las facturas tradicionales tienen un precio del ciento quince por ciento (115%) de la tarifa de cobro automático. Es decir: los clientes que mantienen un método de pago registrado y autorizan el cobro automático reciben un descuento por pago inmediato de aproximadamente trece por ciento (13%). Las facturas tradicionales vencen en quince (15) días.</w:t>
      </w:r>
    </w:p>
    <w:p>
      <w:pPr>
        <w:spacing w:after="120" w:line="300"/>
        <w:jc w:val="both"/>
      </w:pPr>
      <w:r>
        <w:rPr>
          <w:rFonts w:ascii="Calibri" w:cs="Calibri" w:eastAsia="Calibri" w:hAnsi="Calibri"/>
          <w:b/>
          <w:bCs/>
          <w:sz w:val="22"/>
          <w:szCs w:val="22"/>
        </w:rPr>
        <w:t xml:space="preserve">7.4 Pagos Atrasados. </w:t>
      </w:r>
      <w:r>
        <w:rPr>
          <w:rFonts w:ascii="Calibri" w:cs="Calibri" w:eastAsia="Calibri" w:hAnsi="Calibri"/>
          <w:sz w:val="22"/>
          <w:szCs w:val="22"/>
        </w:rPr>
        <w:t xml:space="preserve">Si una factura no se paga dentro de los treinta (30) días de la fecha de factura, se acumulará un cargo por mora del uno y medio por ciento (1.5%) mensual. El Contratista puede suspender futuras visitas de servicio si cualquier saldo tiene más de treinta (30) días de atraso.</w:t>
      </w:r>
    </w:p>
    <w:p>
      <w:pPr>
        <w:spacing w:after="120" w:line="300"/>
        <w:jc w:val="both"/>
      </w:pPr>
      <w:r>
        <w:rPr>
          <w:rFonts w:ascii="Calibri" w:cs="Calibri" w:eastAsia="Calibri" w:hAnsi="Calibri"/>
          <w:b/>
          <w:bCs/>
          <w:sz w:val="22"/>
          <w:szCs w:val="22"/>
        </w:rPr>
        <w:t xml:space="preserve">7.5 Disputas. </w:t>
      </w:r>
      <w:r>
        <w:rPr>
          <w:rFonts w:ascii="Calibri" w:cs="Calibri" w:eastAsia="Calibri" w:hAnsi="Calibri"/>
          <w:sz w:val="22"/>
          <w:szCs w:val="22"/>
        </w:rPr>
        <w:t xml:space="preserve">El Cliente debe disputar cualquier cargo por escrito dentro de los quince (15) días de la fecha de factura. Los montos no disputados dentro de ese período se consideran aceptados.</w:t>
      </w:r>
    </w:p>
    <w:p>
      <w:pPr>
        <w:pStyle w:val="Heading1"/>
        <w:spacing w:after="160" w:before="280"/>
      </w:pPr>
      <w:r>
        <w:t xml:space="preserve">8. Método de Pago Registrado</w:t>
      </w:r>
    </w:p>
    <w:p>
      <w:pPr>
        <w:spacing w:after="120" w:line="300"/>
        <w:jc w:val="both"/>
      </w:pPr>
      <w:r>
        <w:rPr>
          <w:rFonts w:ascii="Calibri" w:cs="Calibri" w:eastAsia="Calibri" w:hAnsi="Calibri"/>
          <w:b/>
          <w:bCs/>
          <w:sz w:val="22"/>
          <w:szCs w:val="22"/>
        </w:rPr>
        <w:t xml:space="preserve">8.1 Autorización. </w:t>
      </w:r>
      <w:r>
        <w:rPr>
          <w:rFonts w:ascii="Calibri" w:cs="Calibri" w:eastAsia="Calibri" w:hAnsi="Calibri"/>
          <w:sz w:val="22"/>
          <w:szCs w:val="22"/>
        </w:rPr>
        <w:t xml:space="preserve">El Cliente proporcionará y mantendrá un método de pago válido (tarjeta de crédito, tarjeta de débito o autorización ACH) registrado con el Contratista a través de Square, el procesador de pagos del Contratista.</w:t>
      </w:r>
    </w:p>
    <w:p>
      <w:pPr>
        <w:spacing w:after="120" w:line="300"/>
        <w:jc w:val="both"/>
      </w:pPr>
      <w:r>
        <w:rPr>
          <w:rFonts w:ascii="Calibri" w:cs="Calibri" w:eastAsia="Calibri" w:hAnsi="Calibri"/>
          <w:b/>
          <w:bCs/>
          <w:sz w:val="22"/>
          <w:szCs w:val="22"/>
        </w:rPr>
        <w:t xml:space="preserve">8.2 Almacenamiento. </w:t>
      </w:r>
      <w:r>
        <w:rPr>
          <w:rFonts w:ascii="Calibri" w:cs="Calibri" w:eastAsia="Calibri" w:hAnsi="Calibri"/>
          <w:sz w:val="22"/>
          <w:szCs w:val="22"/>
        </w:rPr>
        <w:t xml:space="preserve">Los datos del método de pago son almacenados por Square de acuerdo con los Estándares de Seguridad de Datos PCI. El Contratista no retiene números completos de tarjeta, CVVs ni datos sensibles de autenticación en sus propios sistemas.</w:t>
      </w:r>
    </w:p>
    <w:p>
      <w:pPr>
        <w:spacing w:after="120" w:line="300"/>
        <w:jc w:val="both"/>
      </w:pPr>
      <w:r>
        <w:rPr>
          <w:rFonts w:ascii="Calibri" w:cs="Calibri" w:eastAsia="Calibri" w:hAnsi="Calibri"/>
          <w:b/>
          <w:bCs/>
          <w:sz w:val="22"/>
          <w:szCs w:val="22"/>
        </w:rPr>
        <w:t xml:space="preserve">8.3 Falta de Mantenimiento del Método de Pago. </w:t>
      </w:r>
      <w:r>
        <w:rPr>
          <w:rFonts w:ascii="Calibri" w:cs="Calibri" w:eastAsia="Calibri" w:hAnsi="Calibri"/>
          <w:sz w:val="22"/>
          <w:szCs w:val="22"/>
        </w:rPr>
        <w:t xml:space="preserve">Si el método de pago del Cliente expira, es rechazado repetidamente, o es eliminado y no reemplazado dentro de los quince (15) días del aviso por escrito del Contratista, el Contratista puede suspender las visitas de servicio.</w:t>
      </w:r>
    </w:p>
    <w:p>
      <w:pPr>
        <w:pStyle w:val="Heading1"/>
        <w:spacing w:after="160" w:before="280"/>
      </w:pPr>
      <w:r>
        <w:t xml:space="preserve">9. Seguro y Responsabilidad</w:t>
      </w:r>
    </w:p>
    <w:p>
      <w:pPr>
        <w:spacing w:after="120" w:line="300"/>
        <w:jc w:val="both"/>
      </w:pPr>
      <w:r>
        <w:rPr>
          <w:rFonts w:ascii="Calibri" w:cs="Calibri" w:eastAsia="Calibri" w:hAnsi="Calibri"/>
          <w:b/>
          <w:bCs/>
          <w:sz w:val="22"/>
          <w:szCs w:val="22"/>
        </w:rPr>
        <w:t xml:space="preserve">9.1 Seguro del Contratista. </w:t>
      </w:r>
      <w:r>
        <w:rPr>
          <w:rFonts w:ascii="Calibri" w:cs="Calibri" w:eastAsia="Calibri" w:hAnsi="Calibri"/>
          <w:sz w:val="22"/>
          <w:szCs w:val="22"/>
        </w:rPr>
        <w:t xml:space="preserve">El Contratista mantiene seguro de responsabilidad comercial general y seguro de compensación laboral según lo requerido por la ley de Texas. Un certificado de seguro está disponible a solicitud escrita del Cliente.</w:t>
      </w:r>
    </w:p>
    <w:p>
      <w:pPr>
        <w:spacing w:after="120" w:line="300"/>
        <w:jc w:val="both"/>
      </w:pPr>
      <w:r>
        <w:rPr>
          <w:rFonts w:ascii="Calibri" w:cs="Calibri" w:eastAsia="Calibri" w:hAnsi="Calibri"/>
          <w:b/>
          <w:bCs/>
          <w:sz w:val="22"/>
          <w:szCs w:val="22"/>
        </w:rPr>
        <w:t xml:space="preserve">9.2 Limitación de Responsabilidad. </w:t>
      </w:r>
      <w:r>
        <w:rPr>
          <w:rFonts w:ascii="Calibri" w:cs="Calibri" w:eastAsia="Calibri" w:hAnsi="Calibri"/>
          <w:sz w:val="22"/>
          <w:szCs w:val="22"/>
        </w:rPr>
        <w:t xml:space="preserve">En la máxima medida permitida por la ley, la responsabilidad total del Contratista ante el Cliente se limita a los honorarios totales pagados por el Cliente al Contratista bajo este Contrato durante los doce (12) meses anteriores al evento. El Contratista no es responsable por daños indirectos, consecuentes, incidentales, especiales o punitivos.</w:t>
      </w:r>
    </w:p>
    <w:p>
      <w:pPr>
        <w:spacing w:after="120" w:line="300"/>
        <w:jc w:val="both"/>
      </w:pPr>
      <w:r>
        <w:rPr>
          <w:rFonts w:ascii="Calibri" w:cs="Calibri" w:eastAsia="Calibri" w:hAnsi="Calibri"/>
          <w:b/>
          <w:bCs/>
          <w:sz w:val="22"/>
          <w:szCs w:val="22"/>
        </w:rPr>
        <w:t xml:space="preserve">9.3 Sin Garantía de Rendimiento del Sistema en un Evento de Incendio. </w:t>
      </w:r>
      <w:r>
        <w:rPr>
          <w:rFonts w:ascii="Calibri" w:cs="Calibri" w:eastAsia="Calibri" w:hAnsi="Calibri"/>
          <w:sz w:val="22"/>
          <w:szCs w:val="22"/>
        </w:rPr>
        <w:t xml:space="preserve">Los servicios del Contratista consisten en inspección, prueba y mantenimiento de acuerdo con las normas NFPA aplicables. El Contratista no garantiza que ningún sistema de supresión, extintor u otro equipo funcionará bajo condiciones específicas de incendio. El Cliente reconoce que el equipo de protección contra incendios es un componente de un programa más amplio de seguridad.</w:t>
      </w:r>
    </w:p>
    <w:p>
      <w:pPr>
        <w:pStyle w:val="Heading1"/>
        <w:spacing w:after="160" w:before="280"/>
      </w:pPr>
      <w:r>
        <w:t xml:space="preserve">10. Confidencialidad</w:t>
      </w:r>
    </w:p>
    <w:p>
      <w:pPr>
        <w:spacing w:after="120" w:line="300"/>
        <w:jc w:val="both"/>
      </w:pPr>
      <w:r>
        <w:rPr>
          <w:rFonts w:ascii="Calibri" w:cs="Calibri" w:eastAsia="Calibri" w:hAnsi="Calibri"/>
          <w:b/>
          <w:bCs/>
          <w:sz w:val="22"/>
          <w:szCs w:val="22"/>
        </w:rPr>
        <w:t xml:space="preserve">10.1 Obligación Mutua. </w:t>
      </w:r>
      <w:r>
        <w:rPr>
          <w:rFonts w:ascii="Calibri" w:cs="Calibri" w:eastAsia="Calibri" w:hAnsi="Calibri"/>
          <w:sz w:val="22"/>
          <w:szCs w:val="22"/>
        </w:rPr>
        <w:t xml:space="preserve">Cada parte reconoce que, en el curso de la ejecución o recepción de servicios bajo este Contrato, puede recibir u observar información confidencial o propietaria perteneciente a la otra parte. La información confidencial incluye: operaciones comerciales, información financiera, listas de clientes, precios, disposición de instalaciones, procedimientos de seguridad, códigos de acceso, recetas o procesos propietarios, y cualquier otra información no pública.</w:t>
      </w:r>
    </w:p>
    <w:p>
      <w:pPr>
        <w:spacing w:after="120" w:line="300"/>
        <w:jc w:val="both"/>
      </w:pPr>
      <w:r>
        <w:rPr>
          <w:rFonts w:ascii="Calibri" w:cs="Calibri" w:eastAsia="Calibri" w:hAnsi="Calibri"/>
          <w:b/>
          <w:bCs/>
          <w:sz w:val="22"/>
          <w:szCs w:val="22"/>
        </w:rPr>
        <w:t xml:space="preserve">10.2 Restricciones. </w:t>
      </w:r>
      <w:r>
        <w:rPr>
          <w:rFonts w:ascii="Calibri" w:cs="Calibri" w:eastAsia="Calibri" w:hAnsi="Calibri"/>
          <w:sz w:val="22"/>
          <w:szCs w:val="22"/>
        </w:rPr>
        <w:t xml:space="preserve">Cada parte acuerda (a) mantener la información confidencial de la otra parte en estricta confidencialidad, (b) no divulgarla a ningún tercero excepto según lo requiera la ley, y (c) usarla únicamente para los fines contemplados por este Contrato. Esta obligación sobrevive a la terminación del Contrato por un período de dos (2) años.</w:t>
      </w:r>
    </w:p>
    <w:p>
      <w:pPr>
        <w:pStyle w:val="Heading1"/>
        <w:spacing w:after="160" w:before="280"/>
      </w:pPr>
      <w:r>
        <w:t xml:space="preserve">11. Comunicaciones y Portal del Cliente</w:t>
      </w:r>
    </w:p>
    <w:p>
      <w:pPr>
        <w:spacing w:after="120" w:line="300"/>
        <w:jc w:val="both"/>
      </w:pPr>
      <w:r>
        <w:rPr>
          <w:rFonts w:ascii="Calibri" w:cs="Calibri" w:eastAsia="Calibri" w:hAnsi="Calibri"/>
          <w:b/>
          <w:bCs/>
          <w:sz w:val="22"/>
          <w:szCs w:val="22"/>
        </w:rPr>
        <w:t xml:space="preserve">11.1 Acceso al Portal. </w:t>
      </w:r>
      <w:r>
        <w:rPr>
          <w:rFonts w:ascii="Calibri" w:cs="Calibri" w:eastAsia="Calibri" w:hAnsi="Calibri"/>
          <w:sz w:val="22"/>
          <w:szCs w:val="22"/>
        </w:rPr>
        <w:t xml:space="preserve">El Cliente recibirá acceso al portal del Contratista, a través del cual podrá ver visitas próximas, historial de inspecciones, certificados, informes de inspección, facturas, método de pago, contactos y horario de operación.</w:t>
      </w:r>
    </w:p>
    <w:p>
      <w:pPr>
        <w:spacing w:after="120" w:line="300"/>
        <w:jc w:val="both"/>
      </w:pPr>
      <w:r>
        <w:rPr>
          <w:rFonts w:ascii="Calibri" w:cs="Calibri" w:eastAsia="Calibri" w:hAnsi="Calibri"/>
          <w:b/>
          <w:bCs/>
          <w:sz w:val="22"/>
          <w:szCs w:val="22"/>
        </w:rPr>
        <w:t xml:space="preserve">11.2 Comunicaciones por SMS y Correo Electrónico. </w:t>
      </w:r>
      <w:r>
        <w:rPr>
          <w:rFonts w:ascii="Calibri" w:cs="Calibri" w:eastAsia="Calibri" w:hAnsi="Calibri"/>
          <w:sz w:val="22"/>
          <w:szCs w:val="22"/>
        </w:rPr>
        <w:t xml:space="preserve">Al firmar este Contrato, el Cliente consiente en recibir mensajes de texto SMS automatizados y correos electrónicos del Contratista relacionados con el servicio, incluyendo recordatorios de citas, notificaciones de “en camino,” confirmaciones de finalización, facturas, recibos de pago, informes de inspección y avisos de cumplimiento.</w:t>
      </w:r>
    </w:p>
    <w:p>
      <w:pPr>
        <w:pStyle w:val="Heading1"/>
        <w:spacing w:after="160" w:before="280"/>
      </w:pPr>
      <w:r>
        <w:t xml:space="preserve">12. Programa de Referidos</w:t>
      </w:r>
    </w:p>
    <w:p>
      <w:pPr>
        <w:spacing w:after="120" w:line="300"/>
        <w:jc w:val="both"/>
      </w:pPr>
      <w:r>
        <w:rPr>
          <w:rFonts w:ascii="Calibri" w:cs="Calibri" w:eastAsia="Calibri" w:hAnsi="Calibri"/>
          <w:sz w:val="22"/>
          <w:szCs w:val="22"/>
        </w:rPr>
        <w:t xml:space="preserve">Si el Cliente refiere a otro negocio que celebra un Contrato de Servicio Recurrente con el Contratista, el Cliente recibirá un crédito de cincuenta dólares ($50.00) aplicado a su próxima visita de servicio. Los créditos de referidos no son transferibles y no tienen valor en efectivo. El negocio referido debe firmar un Contrato de Servicio Recurrente y completar al menos una visita de servicio pagada antes de que se aplique el crédito. No hay límite en la cantidad de créditos de referidos que un Cliente puede ganar.</w:t>
      </w:r>
    </w:p>
    <w:p>
      <w:pPr>
        <w:pStyle w:val="Heading1"/>
        <w:spacing w:after="160" w:before="280"/>
      </w:pPr>
      <w:r>
        <w:t xml:space="preserve">13. Cambio de Propiedad</w:t>
      </w:r>
    </w:p>
    <w:p>
      <w:pPr>
        <w:spacing w:after="120" w:line="300"/>
        <w:jc w:val="both"/>
      </w:pPr>
      <w:r>
        <w:rPr>
          <w:rFonts w:ascii="Calibri" w:cs="Calibri" w:eastAsia="Calibri" w:hAnsi="Calibri"/>
          <w:sz w:val="22"/>
          <w:szCs w:val="22"/>
        </w:rPr>
        <w:t xml:space="preserve">Si el Cliente vende, transfiere o deja de operar en la dirección de servicio, el Cliente notificará al Contratista por escrito con al menos treinta (30) días de anticipación. Este Contrato no se transfiere automáticamente a un nuevo propietario.</w:t>
      </w:r>
    </w:p>
    <w:p>
      <w:pPr>
        <w:pStyle w:val="Heading1"/>
        <w:spacing w:after="160" w:before="280"/>
      </w:pPr>
      <w:r>
        <w:t xml:space="preserve">14. Disposiciones Generales</w:t>
      </w:r>
    </w:p>
    <w:p>
      <w:pPr>
        <w:spacing w:after="120" w:line="300"/>
        <w:jc w:val="both"/>
      </w:pPr>
      <w:r>
        <w:rPr>
          <w:rFonts w:ascii="Calibri" w:cs="Calibri" w:eastAsia="Calibri" w:hAnsi="Calibri"/>
          <w:b/>
          <w:bCs/>
          <w:sz w:val="22"/>
          <w:szCs w:val="22"/>
        </w:rPr>
        <w:t xml:space="preserve">14.1 Ley Aplicable y Jurisdicción. </w:t>
      </w:r>
      <w:r>
        <w:rPr>
          <w:rFonts w:ascii="Calibri" w:cs="Calibri" w:eastAsia="Calibri" w:hAnsi="Calibri"/>
          <w:sz w:val="22"/>
          <w:szCs w:val="22"/>
        </w:rPr>
        <w:t xml:space="preserve">Este Contrato se rige por las leyes del Estado de Texas. La jurisdicción exclusiva para cualquier disputa se encuentra en los tribunales estatales o federales ubicados en el Condado de Tarrant o el Condado de Dallas, Texas.</w:t>
      </w:r>
    </w:p>
    <w:p>
      <w:pPr>
        <w:spacing w:after="120" w:line="300"/>
        <w:jc w:val="both"/>
      </w:pPr>
      <w:r>
        <w:rPr>
          <w:rFonts w:ascii="Calibri" w:cs="Calibri" w:eastAsia="Calibri" w:hAnsi="Calibri"/>
          <w:b/>
          <w:bCs/>
          <w:sz w:val="22"/>
          <w:szCs w:val="22"/>
        </w:rPr>
        <w:t xml:space="preserve">14.2 Firma Electrónica. </w:t>
      </w:r>
      <w:r>
        <w:rPr>
          <w:rFonts w:ascii="Calibri" w:cs="Calibri" w:eastAsia="Calibri" w:hAnsi="Calibri"/>
          <w:sz w:val="22"/>
          <w:szCs w:val="22"/>
        </w:rPr>
        <w:t xml:space="preserve">Las partes acuerdan que este Contrato puede ser ejecutado por firma electrónica, incluyendo firma capturada digitalmente a través del portal del Contratista o en el dispositivo móvil del técnico, la cual tiene el mismo efecto legal que una firma manuscrita bajo la Ley de Transacciones Electrónicas Uniformes de Texas (Código de Comercio de Texas Capítulo 322) y la Ley federal E-SIGN.</w:t>
      </w:r>
    </w:p>
    <w:p>
      <w:pPr>
        <w:spacing w:after="120" w:line="300"/>
        <w:jc w:val="both"/>
      </w:pPr>
      <w:r>
        <w:rPr>
          <w:rFonts w:ascii="Calibri" w:cs="Calibri" w:eastAsia="Calibri" w:hAnsi="Calibri"/>
          <w:b/>
          <w:bCs/>
          <w:sz w:val="22"/>
          <w:szCs w:val="22"/>
        </w:rPr>
        <w:t xml:space="preserve">14.3 Acuerdo Completo. </w:t>
      </w:r>
      <w:r>
        <w:rPr>
          <w:rFonts w:ascii="Calibri" w:cs="Calibri" w:eastAsia="Calibri" w:hAnsi="Calibri"/>
          <w:sz w:val="22"/>
          <w:szCs w:val="22"/>
        </w:rPr>
        <w:t xml:space="preserve">Este Contrato, junto con el Programa de Precios (Anexo B), la Elección de Facturación (Anexo A) y cualquier addendum firmado, constituye el acuerdo completo entre las partes.</w:t>
      </w:r>
    </w:p>
    <w:p>
      <w:pPr>
        <w:spacing w:after="120" w:line="300"/>
        <w:jc w:val="both"/>
      </w:pPr>
      <w:r>
        <w:rPr>
          <w:rFonts w:ascii="Calibri" w:cs="Calibri" w:eastAsia="Calibri" w:hAnsi="Calibri"/>
          <w:b/>
          <w:bCs/>
          <w:sz w:val="22"/>
          <w:szCs w:val="22"/>
        </w:rPr>
        <w:t xml:space="preserve">14.4 Modificación. </w:t>
      </w:r>
      <w:r>
        <w:rPr>
          <w:rFonts w:ascii="Calibri" w:cs="Calibri" w:eastAsia="Calibri" w:hAnsi="Calibri"/>
          <w:sz w:val="22"/>
          <w:szCs w:val="22"/>
        </w:rPr>
        <w:t xml:space="preserve">Este Contrato solo puede modificarse mediante un escrito firmado por ambas partes.</w:t>
      </w:r>
    </w:p>
    <w:p>
      <w:pPr>
        <w:spacing w:after="120" w:line="300"/>
        <w:jc w:val="both"/>
      </w:pPr>
      <w:r>
        <w:rPr>
          <w:rFonts w:ascii="Calibri" w:cs="Calibri" w:eastAsia="Calibri" w:hAnsi="Calibri"/>
          <w:b/>
          <w:bCs/>
          <w:sz w:val="22"/>
          <w:szCs w:val="22"/>
        </w:rPr>
        <w:t xml:space="preserve">14.5 Divisibilidad. </w:t>
      </w:r>
      <w:r>
        <w:rPr>
          <w:rFonts w:ascii="Calibri" w:cs="Calibri" w:eastAsia="Calibri" w:hAnsi="Calibri"/>
          <w:sz w:val="22"/>
          <w:szCs w:val="22"/>
        </w:rPr>
        <w:t xml:space="preserve">Si alguna disposición de este Contrato se considera inaplicable, el resto del Contrato continuará en pleno vigor y efecto.</w:t>
      </w:r>
    </w:p>
    <w:p>
      <w:pPr>
        <w:spacing w:after="120" w:line="300"/>
        <w:jc w:val="both"/>
      </w:pPr>
      <w:r>
        <w:rPr>
          <w:rFonts w:ascii="Calibri" w:cs="Calibri" w:eastAsia="Calibri" w:hAnsi="Calibri"/>
          <w:b/>
          <w:bCs/>
          <w:sz w:val="22"/>
          <w:szCs w:val="22"/>
        </w:rPr>
        <w:t xml:space="preserve">14.6 Cesión. </w:t>
      </w:r>
      <w:r>
        <w:rPr>
          <w:rFonts w:ascii="Calibri" w:cs="Calibri" w:eastAsia="Calibri" w:hAnsi="Calibri"/>
          <w:sz w:val="22"/>
          <w:szCs w:val="22"/>
        </w:rPr>
        <w:t xml:space="preserve">El Cliente no puede ceder este Contrato sin el consentimiento previo por escrito del Contratista.</w:t>
      </w:r>
    </w:p>
    <w:p>
      <w:pPr>
        <w:spacing w:after="120" w:line="300"/>
        <w:jc w:val="both"/>
      </w:pPr>
      <w:r>
        <w:rPr>
          <w:rFonts w:ascii="Calibri" w:cs="Calibri" w:eastAsia="Calibri" w:hAnsi="Calibri"/>
          <w:b/>
          <w:bCs/>
          <w:sz w:val="22"/>
          <w:szCs w:val="22"/>
        </w:rPr>
        <w:t xml:space="preserve">14.7 Fuerza Mayor. </w:t>
      </w:r>
      <w:r>
        <w:rPr>
          <w:rFonts w:ascii="Calibri" w:cs="Calibri" w:eastAsia="Calibri" w:hAnsi="Calibri"/>
          <w:sz w:val="22"/>
          <w:szCs w:val="22"/>
        </w:rPr>
        <w:t xml:space="preserve">Ninguna de las partes será responsable por incumplimiento o demora causada por eventos fuera de su control razonable.</w:t>
      </w:r>
    </w:p>
    <w:p>
      <w:r>
        <w:br w:type="page"/>
      </w:r>
    </w:p>
    <w:p>
      <w:pPr>
        <w:pStyle w:val="Heading1"/>
        <w:spacing w:after="160" w:before="280"/>
      </w:pPr>
      <w:r>
        <w:t xml:space="preserve">Firmas</w:t>
      </w:r>
    </w:p>
    <w:p>
      <w:pPr>
        <w:spacing w:after="120" w:line="300"/>
        <w:jc w:val="both"/>
      </w:pPr>
      <w:r>
        <w:rPr>
          <w:rFonts w:ascii="Calibri" w:cs="Calibri" w:eastAsia="Calibri" w:hAnsi="Calibri"/>
          <w:sz w:val="22"/>
          <w:szCs w:val="22"/>
        </w:rPr>
        <w:t xml:space="preserve">Al firmar a continuación, las partes reconocen que han leído, comprendido y aceptado todos los términos de este Contrato de Servicio Recurrente.</w:t>
      </w:r>
    </w:p>
    <w:p>
      <w:pPr>
        <w:spacing w:after="120" w:before="240"/>
      </w:pPr>
      <w:r>
        <w:rPr>
          <w:rFonts w:ascii="Calibri" w:cs="Calibri" w:eastAsia="Calibri" w:hAnsi="Calibri"/>
          <w:b/>
          <w:bCs/>
          <w:sz w:val="22"/>
          <w:szCs w:val="22"/>
        </w:rPr>
        <w:t xml:space="preserve">CLIENTE</w:t>
      </w:r>
    </w:p>
    <w:p>
      <w:pPr>
        <w:spacing w:after="60"/>
      </w:pPr>
      <w:r>
        <w:rPr>
          <w:rFonts w:ascii="Calibri" w:cs="Calibri" w:eastAsia="Calibri" w:hAnsi="Calibri"/>
          <w:sz w:val="22"/>
          <w:szCs w:val="22"/>
        </w:rPr>
        <w:t xml:space="preserve">__________________________________________________</w:t>
      </w:r>
      <w:r>
        <w:rPr>
          <w:sz w:val="22"/>
          <w:szCs w:val="22"/>
        </w:rPr>
        <w:t xml:space="preserve">   </w:t>
      </w:r>
      <w:r>
        <w:rPr>
          <w:rFonts w:ascii="Calibri" w:cs="Calibri" w:eastAsia="Calibri" w:hAnsi="Calibri"/>
          <w:sz w:val="22"/>
          <w:szCs w:val="22"/>
        </w:rPr>
        <w:t xml:space="preserve">____________________</w:t>
      </w:r>
    </w:p>
    <w:p>
      <w:pPr>
        <w:tabs>
          <w:tab w:val="left" w:pos="7200"/>
        </w:tabs>
        <w:spacing w:after="280"/>
      </w:pPr>
      <w:r>
        <w:rPr>
          <w:rFonts w:ascii="Calibri" w:cs="Calibri" w:eastAsia="Calibri" w:hAnsi="Calibri"/>
          <w:i/>
          <w:iCs/>
          <w:sz w:val="18"/>
          <w:szCs w:val="18"/>
        </w:rPr>
        <w:t xml:space="preserve">Firma</w:t>
      </w:r>
      <w:r>
        <w:rPr>
          <w:sz w:val="18"/>
          <w:szCs w:val="18"/>
        </w:rPr>
        <w:t xml:space="preserve">	</w:t>
      </w:r>
      <w:r>
        <w:rPr>
          <w:rFonts w:ascii="Calibri" w:cs="Calibri" w:eastAsia="Calibri" w:hAnsi="Calibri"/>
          <w:i/>
          <w:iCs/>
          <w:sz w:val="18"/>
          <w:szCs w:val="18"/>
        </w:rPr>
        <w:t xml:space="preserve">Fecha</w:t>
      </w:r>
    </w:p>
    <w:p>
      <w:pPr>
        <w:spacing w:after="180"/>
      </w:pPr>
      <w:r>
        <w:rPr>
          <w:rFonts w:ascii="Calibri" w:cs="Calibri" w:eastAsia="Calibri" w:hAnsi="Calibri"/>
          <w:b/>
          <w:bCs/>
          <w:sz w:val="22"/>
          <w:szCs w:val="22"/>
        </w:rPr>
        <w:t xml:space="preserve">Nombre impreso: </w:t>
      </w:r>
      <w:r>
        <w:rPr>
          <w:rFonts w:ascii="Calibri" w:cs="Calibri" w:eastAsia="Calibri" w:hAnsi="Calibri"/>
          <w:sz w:val="22"/>
          <w:szCs w:val="22"/>
        </w:rPr>
        <w:t xml:space="preserve">__________________________________________________</w:t>
      </w:r>
    </w:p>
    <w:p>
      <w:pPr>
        <w:spacing w:after="180"/>
      </w:pPr>
      <w:r>
        <w:rPr>
          <w:rFonts w:ascii="Calibri" w:cs="Calibri" w:eastAsia="Calibri" w:hAnsi="Calibri"/>
          <w:b/>
          <w:bCs/>
          <w:sz w:val="22"/>
          <w:szCs w:val="22"/>
        </w:rPr>
        <w:t xml:space="preserve">Cargo: </w:t>
      </w:r>
      <w:r>
        <w:rPr>
          <w:rFonts w:ascii="Calibri" w:cs="Calibri" w:eastAsia="Calibri" w:hAnsi="Calibri"/>
          <w:sz w:val="22"/>
          <w:szCs w:val="22"/>
        </w:rPr>
        <w:t xml:space="preserve">__________________________________________________</w:t>
      </w:r>
    </w:p>
    <w:p>
      <w:pPr>
        <w:spacing w:after="180"/>
      </w:pPr>
      <w:r>
        <w:rPr>
          <w:rFonts w:ascii="Calibri" w:cs="Calibri" w:eastAsia="Calibri" w:hAnsi="Calibri"/>
          <w:b/>
          <w:bCs/>
          <w:sz w:val="22"/>
          <w:szCs w:val="22"/>
        </w:rPr>
        <w:t xml:space="preserve">Entidad: </w:t>
      </w:r>
      <w:r>
        <w:rPr>
          <w:rFonts w:ascii="Calibri" w:cs="Calibri" w:eastAsia="Calibri" w:hAnsi="Calibri"/>
          <w:sz w:val="22"/>
          <w:szCs w:val="22"/>
        </w:rPr>
        <w:t xml:space="preserve">__________________________________________________</w:t>
      </w:r>
    </w:p>
    <w:p>
      <w:pPr>
        <w:spacing w:after="120" w:before="240"/>
      </w:pPr>
      <w:r>
        <w:rPr>
          <w:rFonts w:ascii="Calibri" w:cs="Calibri" w:eastAsia="Calibri" w:hAnsi="Calibri"/>
          <w:b/>
          <w:bCs/>
          <w:sz w:val="22"/>
          <w:szCs w:val="22"/>
        </w:rPr>
        <w:t xml:space="preserve">CONTRATISTA — STEPHENS ADVANCED LLC</w:t>
      </w:r>
    </w:p>
    <w:p>
      <w:pPr>
        <w:spacing w:after="60"/>
      </w:pPr>
      <w:r>
        <w:rPr>
          <w:rFonts w:ascii="Calibri" w:cs="Calibri" w:eastAsia="Calibri" w:hAnsi="Calibri"/>
          <w:sz w:val="22"/>
          <w:szCs w:val="22"/>
        </w:rPr>
        <w:t xml:space="preserve">__________________________________________________</w:t>
      </w:r>
      <w:r>
        <w:rPr>
          <w:sz w:val="22"/>
          <w:szCs w:val="22"/>
        </w:rPr>
        <w:t xml:space="preserve">   </w:t>
      </w:r>
      <w:r>
        <w:rPr>
          <w:rFonts w:ascii="Calibri" w:cs="Calibri" w:eastAsia="Calibri" w:hAnsi="Calibri"/>
          <w:sz w:val="22"/>
          <w:szCs w:val="22"/>
        </w:rPr>
        <w:t xml:space="preserve">____________________</w:t>
      </w:r>
    </w:p>
    <w:p>
      <w:pPr>
        <w:tabs>
          <w:tab w:val="left" w:pos="7200"/>
        </w:tabs>
        <w:spacing w:after="280"/>
      </w:pPr>
      <w:r>
        <w:rPr>
          <w:rFonts w:ascii="Calibri" w:cs="Calibri" w:eastAsia="Calibri" w:hAnsi="Calibri"/>
          <w:i/>
          <w:iCs/>
          <w:sz w:val="18"/>
          <w:szCs w:val="18"/>
        </w:rPr>
        <w:t xml:space="preserve">Firma</w:t>
      </w:r>
      <w:r>
        <w:rPr>
          <w:sz w:val="18"/>
          <w:szCs w:val="18"/>
        </w:rPr>
        <w:t xml:space="preserve">	</w:t>
      </w:r>
      <w:r>
        <w:rPr>
          <w:rFonts w:ascii="Calibri" w:cs="Calibri" w:eastAsia="Calibri" w:hAnsi="Calibri"/>
          <w:i/>
          <w:iCs/>
          <w:sz w:val="18"/>
          <w:szCs w:val="18"/>
        </w:rPr>
        <w:t xml:space="preserve">Fecha</w:t>
      </w:r>
    </w:p>
    <w:p>
      <w:pPr>
        <w:spacing w:after="180"/>
      </w:pPr>
      <w:r>
        <w:rPr>
          <w:rFonts w:ascii="Calibri" w:cs="Calibri" w:eastAsia="Calibri" w:hAnsi="Calibri"/>
          <w:b/>
          <w:bCs/>
          <w:sz w:val="22"/>
          <w:szCs w:val="22"/>
        </w:rPr>
        <w:t xml:space="preserve">Nombre impreso: </w:t>
      </w:r>
      <w:r>
        <w:rPr>
          <w:rFonts w:ascii="Calibri" w:cs="Calibri" w:eastAsia="Calibri" w:hAnsi="Calibri"/>
          <w:sz w:val="22"/>
          <w:szCs w:val="22"/>
        </w:rPr>
        <w:t xml:space="preserve">__________________________________________________</w:t>
      </w:r>
    </w:p>
    <w:p>
      <w:pPr>
        <w:spacing w:after="180"/>
      </w:pPr>
      <w:r>
        <w:rPr>
          <w:rFonts w:ascii="Calibri" w:cs="Calibri" w:eastAsia="Calibri" w:hAnsi="Calibri"/>
          <w:b/>
          <w:bCs/>
          <w:sz w:val="22"/>
          <w:szCs w:val="22"/>
        </w:rPr>
        <w:t xml:space="preserve">Cargo: </w:t>
      </w:r>
      <w:r>
        <w:rPr>
          <w:rFonts w:ascii="Calibri" w:cs="Calibri" w:eastAsia="Calibri" w:hAnsi="Calibri"/>
          <w:sz w:val="22"/>
          <w:szCs w:val="22"/>
        </w:rPr>
        <w:t xml:space="preserve">__________________________________________________</w:t>
      </w:r>
    </w:p>
    <w:p>
      <w:r>
        <w:br w:type="page"/>
      </w:r>
    </w:p>
    <w:p>
      <w:pPr>
        <w:pStyle w:val="Heading1"/>
        <w:spacing w:after="160" w:before="280"/>
      </w:pPr>
      <w:r>
        <w:t xml:space="preserve">Anexo A — Elección de Facturación</w:t>
      </w:r>
    </w:p>
    <w:p>
      <w:pPr>
        <w:spacing w:after="120" w:line="300"/>
        <w:jc w:val="both"/>
      </w:pPr>
      <w:r>
        <w:rPr>
          <w:rFonts w:ascii="Calibri" w:cs="Calibri" w:eastAsia="Calibri" w:hAnsi="Calibri"/>
          <w:sz w:val="22"/>
          <w:szCs w:val="22"/>
        </w:rPr>
        <w:t xml:space="preserve">El Cliente elige una de las siguientes opciones (marque una):</w:t>
      </w:r>
    </w:p>
    <w:p>
      <w:pPr>
        <w:spacing w:after="160" w:line="300"/>
      </w:pPr>
      <w:r>
        <w:rPr>
          <w:rFonts w:ascii="Calibri" w:cs="Calibri" w:eastAsia="Calibri" w:hAnsi="Calibri"/>
          <w:sz w:val="22"/>
          <w:szCs w:val="22"/>
        </w:rPr>
        <w:t xml:space="preserve">☐  Cobro Automático (método de pago registrado). Las facturas firmadas se cobran automáticamente al completar cada visita a las tarifas del Programa de Precios. Esta es la opción predeterminada e incluye el descuento por pago inmediato.</w:t>
      </w:r>
    </w:p>
    <w:p>
      <w:pPr>
        <w:spacing w:after="240" w:line="300"/>
      </w:pPr>
      <w:r>
        <w:rPr>
          <w:rFonts w:ascii="Calibri" w:cs="Calibri" w:eastAsia="Calibri" w:hAnsi="Calibri"/>
          <w:sz w:val="22"/>
          <w:szCs w:val="22"/>
        </w:rPr>
        <w:t xml:space="preserve">☐  Factura Tradicional. Las facturas se envían por correo electrónico y/o a través del portal y vencen en quince (15) días. Las tarifas de factura tradicional son el ciento quince por ciento (115%) de las tarifas de cobro automático.</w:t>
      </w:r>
    </w:p>
    <w:p>
      <w:pPr>
        <w:spacing w:after="180"/>
      </w:pPr>
      <w:r>
        <w:rPr>
          <w:rFonts w:ascii="Calibri" w:cs="Calibri" w:eastAsia="Calibri" w:hAnsi="Calibri"/>
          <w:b/>
          <w:bCs/>
          <w:sz w:val="22"/>
          <w:szCs w:val="22"/>
        </w:rPr>
        <w:t xml:space="preserve">Iniciales del Cliente confirmando elección: </w:t>
      </w:r>
      <w:r>
        <w:rPr>
          <w:rFonts w:ascii="Calibri" w:cs="Calibri" w:eastAsia="Calibri" w:hAnsi="Calibri"/>
          <w:sz w:val="22"/>
          <w:szCs w:val="22"/>
        </w:rPr>
        <w:t xml:space="preserve">____________________</w:t>
      </w:r>
    </w:p>
    <w:p>
      <w:r>
        <w:br w:type="page"/>
      </w:r>
    </w:p>
    <w:p>
      <w:pPr>
        <w:pStyle w:val="Heading1"/>
        <w:spacing w:after="160" w:before="280"/>
      </w:pPr>
      <w:r>
        <w:t xml:space="preserve">Anexo B — Programa de Precios</w:t>
      </w:r>
    </w:p>
    <w:p>
      <w:pPr>
        <w:spacing w:after="120" w:line="300"/>
        <w:jc w:val="both"/>
      </w:pPr>
      <w:r>
        <w:rPr>
          <w:rFonts w:ascii="Calibri" w:cs="Calibri" w:eastAsia="Calibri" w:hAnsi="Calibri"/>
          <w:sz w:val="22"/>
          <w:szCs w:val="22"/>
        </w:rPr>
        <w:t xml:space="preserve">Los precios por visita y el inventario de equipos para este Cliente se establecen a continuación. Los precios mostrados son las tarifas de cobro automático. Los clientes que eligen factura tradicional pagan el 115% de las tarifas a continuación.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1560"/>
        <w:gridCol w:w="1560"/>
        <w:gridCol w:w="1560"/>
      </w:tblGrid>
      <w:tr>
        <w:trPr>
          <w:tblHeader/>
        </w:trPr>
        <w:tc>
          <w:tcPr>
            <w:tcW w:type="dxa" w:w="4680"/>
            <w:tcBorders>
              <w:top w:val="single" w:color="888888" w:sz="1"/>
              <w:left w:val="single" w:color="888888" w:sz="1"/>
              <w:bottom w:val="single" w:color="888888" w:sz="1"/>
              <w:right w:val="single" w:color="888888" w:sz="1"/>
            </w:tcBorders>
            <w:shd w:fill="F05A28" w:val="clear"/>
            <w:tcMar>
              <w:top w:type="dxa" w:w="100"/>
              <w:left w:type="dxa" w:w="120"/>
              <w:bottom w:type="dxa" w:w="100"/>
              <w:right w:type="dxa" w:w="120"/>
            </w:tcMar>
          </w:tcPr>
          <w:p>
            <w:r>
              <w:rPr>
                <w:rFonts w:ascii="Calibri" w:cs="Calibri" w:eastAsia="Calibri" w:hAnsi="Calibri"/>
                <w:b/>
                <w:bCs/>
                <w:color w:val="FFFFFF"/>
                <w:sz w:val="22"/>
                <w:szCs w:val="22"/>
              </w:rPr>
              <w:t xml:space="preserve">Equipo / Servicio</w:t>
            </w:r>
          </w:p>
        </w:tc>
        <w:tc>
          <w:tcPr>
            <w:tcW w:type="dxa" w:w="1560"/>
            <w:tcBorders>
              <w:top w:val="single" w:color="888888" w:sz="1"/>
              <w:left w:val="single" w:color="888888" w:sz="1"/>
              <w:bottom w:val="single" w:color="888888" w:sz="1"/>
              <w:right w:val="single" w:color="888888" w:sz="1"/>
            </w:tcBorders>
            <w:shd w:fill="F05A28" w:val="clear"/>
            <w:tcMar>
              <w:top w:type="dxa" w:w="100"/>
              <w:left w:type="dxa" w:w="120"/>
              <w:bottom w:type="dxa" w:w="100"/>
              <w:right w:type="dxa" w:w="120"/>
            </w:tcMar>
          </w:tcPr>
          <w:p>
            <w:r>
              <w:rPr>
                <w:rFonts w:ascii="Calibri" w:cs="Calibri" w:eastAsia="Calibri" w:hAnsi="Calibri"/>
                <w:b/>
                <w:bCs/>
                <w:color w:val="FFFFFF"/>
                <w:sz w:val="22"/>
                <w:szCs w:val="22"/>
              </w:rPr>
              <w:t xml:space="preserve">Cant.</w:t>
            </w:r>
          </w:p>
        </w:tc>
        <w:tc>
          <w:tcPr>
            <w:tcW w:type="dxa" w:w="1560"/>
            <w:tcBorders>
              <w:top w:val="single" w:color="888888" w:sz="1"/>
              <w:left w:val="single" w:color="888888" w:sz="1"/>
              <w:bottom w:val="single" w:color="888888" w:sz="1"/>
              <w:right w:val="single" w:color="888888" w:sz="1"/>
            </w:tcBorders>
            <w:shd w:fill="F05A28" w:val="clear"/>
            <w:tcMar>
              <w:top w:type="dxa" w:w="100"/>
              <w:left w:type="dxa" w:w="120"/>
              <w:bottom w:type="dxa" w:w="100"/>
              <w:right w:type="dxa" w:w="120"/>
            </w:tcMar>
          </w:tcPr>
          <w:p>
            <w:r>
              <w:rPr>
                <w:rFonts w:ascii="Calibri" w:cs="Calibri" w:eastAsia="Calibri" w:hAnsi="Calibri"/>
                <w:b/>
                <w:bCs/>
                <w:color w:val="FFFFFF"/>
                <w:sz w:val="22"/>
                <w:szCs w:val="22"/>
              </w:rPr>
              <w:t xml:space="preserve">Tarifa</w:t>
            </w:r>
          </w:p>
        </w:tc>
        <w:tc>
          <w:tcPr>
            <w:tcW w:type="dxa" w:w="1560"/>
            <w:tcBorders>
              <w:top w:val="single" w:color="888888" w:sz="1"/>
              <w:left w:val="single" w:color="888888" w:sz="1"/>
              <w:bottom w:val="single" w:color="888888" w:sz="1"/>
              <w:right w:val="single" w:color="888888" w:sz="1"/>
            </w:tcBorders>
            <w:shd w:fill="F05A28" w:val="clear"/>
            <w:tcMar>
              <w:top w:type="dxa" w:w="100"/>
              <w:left w:type="dxa" w:w="120"/>
              <w:bottom w:type="dxa" w:w="100"/>
              <w:right w:type="dxa" w:w="120"/>
            </w:tcMar>
          </w:tcPr>
          <w:p>
            <w:r>
              <w:rPr>
                <w:rFonts w:ascii="Calibri" w:cs="Calibri" w:eastAsia="Calibri" w:hAnsi="Calibri"/>
                <w:b/>
                <w:bCs/>
                <w:color w:val="FFFFFF"/>
                <w:sz w:val="22"/>
                <w:szCs w:val="22"/>
              </w:rPr>
              <w:t xml:space="preserve">Frecuencia</w:t>
            </w:r>
          </w:p>
        </w:tc>
      </w:tr>
      <w:tr>
        <w:tc>
          <w:tcPr>
            <w:tcW w:type="dxa" w:w="4680"/>
            <w:tcBorders>
              <w:top w:val="single" w:color="CCCCCC" w:sz="1"/>
              <w:left w:val="single" w:color="CCCCCC" w:sz="1"/>
              <w:bottom w:val="single" w:color="CCCCCC" w:sz="1"/>
              <w:right w:val="single" w:color="CCCCCC" w:sz="1"/>
            </w:tcBorders>
            <w:tcMar>
              <w:top w:type="dxa" w:w="140"/>
              <w:left w:type="dxa" w:w="120"/>
              <w:bottom w:type="dxa" w:w="140"/>
              <w:right w:type="dxa" w:w="120"/>
            </w:tcMar>
          </w:tcPr>
          <w:p>
            <w:r>
              <w:rPr>
                <w:rFonts w:ascii="Calibri" w:cs="Calibri" w:eastAsia="Calibri" w:hAnsi="Calibri"/>
                <w:sz w:val="22"/>
                <w:szCs w:val="22"/>
              </w:rPr>
              <w:t xml:space="preserve"> </w:t>
            </w:r>
          </w:p>
        </w:tc>
        <w:tc>
          <w:tcPr>
            <w:tcW w:type="dxa" w:w="1560"/>
            <w:tcBorders>
              <w:top w:val="single" w:color="CCCCCC" w:sz="1"/>
              <w:left w:val="single" w:color="CCCCCC" w:sz="1"/>
              <w:bottom w:val="single" w:color="CCCCCC" w:sz="1"/>
              <w:right w:val="single" w:color="CCCCCC" w:sz="1"/>
            </w:tcBorders>
            <w:tcMar>
              <w:top w:type="dxa" w:w="140"/>
              <w:left w:type="dxa" w:w="120"/>
              <w:bottom w:type="dxa" w:w="140"/>
              <w:right w:type="dxa" w:w="120"/>
            </w:tcMar>
          </w:tcPr>
          <w:p>
            <w:r>
              <w:rPr>
                <w:rFonts w:ascii="Calibri" w:cs="Calibri" w:eastAsia="Calibri" w:hAnsi="Calibri"/>
                <w:sz w:val="22"/>
                <w:szCs w:val="22"/>
              </w:rPr>
              <w:t xml:space="preserve"> </w:t>
            </w:r>
          </w:p>
        </w:tc>
        <w:tc>
          <w:tcPr>
            <w:tcW w:type="dxa" w:w="1560"/>
            <w:tcBorders>
              <w:top w:val="single" w:color="CCCCCC" w:sz="1"/>
              <w:left w:val="single" w:color="CCCCCC" w:sz="1"/>
              <w:bottom w:val="single" w:color="CCCCCC" w:sz="1"/>
              <w:right w:val="single" w:color="CCCCCC" w:sz="1"/>
            </w:tcBorders>
            <w:tcMar>
              <w:top w:type="dxa" w:w="140"/>
              <w:left w:type="dxa" w:w="120"/>
              <w:bottom w:type="dxa" w:w="140"/>
              <w:right w:type="dxa" w:w="120"/>
            </w:tcMar>
          </w:tcPr>
          <w:p>
            <w:r>
              <w:rPr>
                <w:rFonts w:ascii="Calibri" w:cs="Calibri" w:eastAsia="Calibri" w:hAnsi="Calibri"/>
                <w:sz w:val="22"/>
                <w:szCs w:val="22"/>
              </w:rPr>
              <w:t xml:space="preserve"> </w:t>
            </w:r>
          </w:p>
        </w:tc>
        <w:tc>
          <w:tcPr>
            <w:tcW w:type="dxa" w:w="1560"/>
            <w:tcBorders>
              <w:top w:val="single" w:color="CCCCCC" w:sz="1"/>
              <w:left w:val="single" w:color="CCCCCC" w:sz="1"/>
              <w:bottom w:val="single" w:color="CCCCCC" w:sz="1"/>
              <w:right w:val="single" w:color="CCCCCC" w:sz="1"/>
            </w:tcBorders>
            <w:tcMar>
              <w:top w:type="dxa" w:w="140"/>
              <w:left w:type="dxa" w:w="120"/>
              <w:bottom w:type="dxa" w:w="140"/>
              <w:right w:type="dxa" w:w="120"/>
            </w:tcMar>
          </w:tcPr>
          <w:p>
            <w:r>
              <w:rPr>
                <w:rFonts w:ascii="Calibri" w:cs="Calibri" w:eastAsia="Calibri" w:hAnsi="Calibri"/>
                <w:sz w:val="22"/>
                <w:szCs w:val="22"/>
              </w:rPr>
              <w:t xml:space="preserve"> </w:t>
            </w:r>
          </w:p>
        </w:tc>
      </w:tr>
      <w:tr>
        <w:tc>
          <w:tcPr>
            <w:tcW w:type="dxa" w:w="4680"/>
            <w:tcBorders>
              <w:top w:val="single" w:color="CCCCCC" w:sz="1"/>
              <w:left w:val="single" w:color="CCCCCC" w:sz="1"/>
              <w:bottom w:val="single" w:color="CCCCCC" w:sz="1"/>
              <w:right w:val="single" w:color="CCCCCC" w:sz="1"/>
            </w:tcBorders>
            <w:tcMar>
              <w:top w:type="dxa" w:w="140"/>
              <w:left w:type="dxa" w:w="120"/>
              <w:bottom w:type="dxa" w:w="140"/>
              <w:right w:type="dxa" w:w="120"/>
            </w:tcMar>
          </w:tcPr>
          <w:p>
            <w:r>
              <w:rPr>
                <w:rFonts w:ascii="Calibri" w:cs="Calibri" w:eastAsia="Calibri" w:hAnsi="Calibri"/>
                <w:sz w:val="22"/>
                <w:szCs w:val="22"/>
              </w:rPr>
              <w:t xml:space="preserve"> </w:t>
            </w:r>
          </w:p>
        </w:tc>
        <w:tc>
          <w:tcPr>
            <w:tcW w:type="dxa" w:w="1560"/>
            <w:tcBorders>
              <w:top w:val="single" w:color="CCCCCC" w:sz="1"/>
              <w:left w:val="single" w:color="CCCCCC" w:sz="1"/>
              <w:bottom w:val="single" w:color="CCCCCC" w:sz="1"/>
              <w:right w:val="single" w:color="CCCCCC" w:sz="1"/>
            </w:tcBorders>
            <w:tcMar>
              <w:top w:type="dxa" w:w="140"/>
              <w:left w:type="dxa" w:w="120"/>
              <w:bottom w:type="dxa" w:w="140"/>
              <w:right w:type="dxa" w:w="120"/>
            </w:tcMar>
          </w:tcPr>
          <w:p>
            <w:r>
              <w:rPr>
                <w:rFonts w:ascii="Calibri" w:cs="Calibri" w:eastAsia="Calibri" w:hAnsi="Calibri"/>
                <w:sz w:val="22"/>
                <w:szCs w:val="22"/>
              </w:rPr>
              <w:t xml:space="preserve"> </w:t>
            </w:r>
          </w:p>
        </w:tc>
        <w:tc>
          <w:tcPr>
            <w:tcW w:type="dxa" w:w="1560"/>
            <w:tcBorders>
              <w:top w:val="single" w:color="CCCCCC" w:sz="1"/>
              <w:left w:val="single" w:color="CCCCCC" w:sz="1"/>
              <w:bottom w:val="single" w:color="CCCCCC" w:sz="1"/>
              <w:right w:val="single" w:color="CCCCCC" w:sz="1"/>
            </w:tcBorders>
            <w:tcMar>
              <w:top w:type="dxa" w:w="140"/>
              <w:left w:type="dxa" w:w="120"/>
              <w:bottom w:type="dxa" w:w="140"/>
              <w:right w:type="dxa" w:w="120"/>
            </w:tcMar>
          </w:tcPr>
          <w:p>
            <w:r>
              <w:rPr>
                <w:rFonts w:ascii="Calibri" w:cs="Calibri" w:eastAsia="Calibri" w:hAnsi="Calibri"/>
                <w:sz w:val="22"/>
                <w:szCs w:val="22"/>
              </w:rPr>
              <w:t xml:space="preserve"> </w:t>
            </w:r>
          </w:p>
        </w:tc>
        <w:tc>
          <w:tcPr>
            <w:tcW w:type="dxa" w:w="1560"/>
            <w:tcBorders>
              <w:top w:val="single" w:color="CCCCCC" w:sz="1"/>
              <w:left w:val="single" w:color="CCCCCC" w:sz="1"/>
              <w:bottom w:val="single" w:color="CCCCCC" w:sz="1"/>
              <w:right w:val="single" w:color="CCCCCC" w:sz="1"/>
            </w:tcBorders>
            <w:tcMar>
              <w:top w:type="dxa" w:w="140"/>
              <w:left w:type="dxa" w:w="120"/>
              <w:bottom w:type="dxa" w:w="140"/>
              <w:right w:type="dxa" w:w="120"/>
            </w:tcMar>
          </w:tcPr>
          <w:p>
            <w:r>
              <w:rPr>
                <w:rFonts w:ascii="Calibri" w:cs="Calibri" w:eastAsia="Calibri" w:hAnsi="Calibri"/>
                <w:sz w:val="22"/>
                <w:szCs w:val="22"/>
              </w:rPr>
              <w:t xml:space="preserve"> </w:t>
            </w:r>
          </w:p>
        </w:tc>
      </w:tr>
      <w:tr>
        <w:tc>
          <w:tcPr>
            <w:tcW w:type="dxa" w:w="4680"/>
            <w:tcBorders>
              <w:top w:val="single" w:color="CCCCCC" w:sz="1"/>
              <w:left w:val="single" w:color="CCCCCC" w:sz="1"/>
              <w:bottom w:val="single" w:color="CCCCCC" w:sz="1"/>
              <w:right w:val="single" w:color="CCCCCC" w:sz="1"/>
            </w:tcBorders>
            <w:tcMar>
              <w:top w:type="dxa" w:w="140"/>
              <w:left w:type="dxa" w:w="120"/>
              <w:bottom w:type="dxa" w:w="140"/>
              <w:right w:type="dxa" w:w="120"/>
            </w:tcMar>
          </w:tcPr>
          <w:p>
            <w:r>
              <w:rPr>
                <w:rFonts w:ascii="Calibri" w:cs="Calibri" w:eastAsia="Calibri" w:hAnsi="Calibri"/>
                <w:sz w:val="22"/>
                <w:szCs w:val="22"/>
              </w:rPr>
              <w:t xml:space="preserve"> </w:t>
            </w:r>
          </w:p>
        </w:tc>
        <w:tc>
          <w:tcPr>
            <w:tcW w:type="dxa" w:w="1560"/>
            <w:tcBorders>
              <w:top w:val="single" w:color="CCCCCC" w:sz="1"/>
              <w:left w:val="single" w:color="CCCCCC" w:sz="1"/>
              <w:bottom w:val="single" w:color="CCCCCC" w:sz="1"/>
              <w:right w:val="single" w:color="CCCCCC" w:sz="1"/>
            </w:tcBorders>
            <w:tcMar>
              <w:top w:type="dxa" w:w="140"/>
              <w:left w:type="dxa" w:w="120"/>
              <w:bottom w:type="dxa" w:w="140"/>
              <w:right w:type="dxa" w:w="120"/>
            </w:tcMar>
          </w:tcPr>
          <w:p>
            <w:r>
              <w:rPr>
                <w:rFonts w:ascii="Calibri" w:cs="Calibri" w:eastAsia="Calibri" w:hAnsi="Calibri"/>
                <w:sz w:val="22"/>
                <w:szCs w:val="22"/>
              </w:rPr>
              <w:t xml:space="preserve"> </w:t>
            </w:r>
          </w:p>
        </w:tc>
        <w:tc>
          <w:tcPr>
            <w:tcW w:type="dxa" w:w="1560"/>
            <w:tcBorders>
              <w:top w:val="single" w:color="CCCCCC" w:sz="1"/>
              <w:left w:val="single" w:color="CCCCCC" w:sz="1"/>
              <w:bottom w:val="single" w:color="CCCCCC" w:sz="1"/>
              <w:right w:val="single" w:color="CCCCCC" w:sz="1"/>
            </w:tcBorders>
            <w:tcMar>
              <w:top w:type="dxa" w:w="140"/>
              <w:left w:type="dxa" w:w="120"/>
              <w:bottom w:type="dxa" w:w="140"/>
              <w:right w:type="dxa" w:w="120"/>
            </w:tcMar>
          </w:tcPr>
          <w:p>
            <w:r>
              <w:rPr>
                <w:rFonts w:ascii="Calibri" w:cs="Calibri" w:eastAsia="Calibri" w:hAnsi="Calibri"/>
                <w:sz w:val="22"/>
                <w:szCs w:val="22"/>
              </w:rPr>
              <w:t xml:space="preserve"> </w:t>
            </w:r>
          </w:p>
        </w:tc>
        <w:tc>
          <w:tcPr>
            <w:tcW w:type="dxa" w:w="1560"/>
            <w:tcBorders>
              <w:top w:val="single" w:color="CCCCCC" w:sz="1"/>
              <w:left w:val="single" w:color="CCCCCC" w:sz="1"/>
              <w:bottom w:val="single" w:color="CCCCCC" w:sz="1"/>
              <w:right w:val="single" w:color="CCCCCC" w:sz="1"/>
            </w:tcBorders>
            <w:tcMar>
              <w:top w:type="dxa" w:w="140"/>
              <w:left w:type="dxa" w:w="120"/>
              <w:bottom w:type="dxa" w:w="140"/>
              <w:right w:type="dxa" w:w="120"/>
            </w:tcMar>
          </w:tcPr>
          <w:p>
            <w:r>
              <w:rPr>
                <w:rFonts w:ascii="Calibri" w:cs="Calibri" w:eastAsia="Calibri" w:hAnsi="Calibri"/>
                <w:sz w:val="22"/>
                <w:szCs w:val="22"/>
              </w:rPr>
              <w:t xml:space="preserve"> </w:t>
            </w:r>
          </w:p>
        </w:tc>
      </w:tr>
      <w:tr>
        <w:tc>
          <w:tcPr>
            <w:tcW w:type="dxa" w:w="4680"/>
            <w:tcBorders>
              <w:top w:val="single" w:color="CCCCCC" w:sz="1"/>
              <w:left w:val="single" w:color="CCCCCC" w:sz="1"/>
              <w:bottom w:val="single" w:color="CCCCCC" w:sz="1"/>
              <w:right w:val="single" w:color="CCCCCC" w:sz="1"/>
            </w:tcBorders>
            <w:tcMar>
              <w:top w:type="dxa" w:w="140"/>
              <w:left w:type="dxa" w:w="120"/>
              <w:bottom w:type="dxa" w:w="140"/>
              <w:right w:type="dxa" w:w="120"/>
            </w:tcMar>
          </w:tcPr>
          <w:p>
            <w:r>
              <w:rPr>
                <w:rFonts w:ascii="Calibri" w:cs="Calibri" w:eastAsia="Calibri" w:hAnsi="Calibri"/>
                <w:sz w:val="22"/>
                <w:szCs w:val="22"/>
              </w:rPr>
              <w:t xml:space="preserve"> </w:t>
            </w:r>
          </w:p>
        </w:tc>
        <w:tc>
          <w:tcPr>
            <w:tcW w:type="dxa" w:w="1560"/>
            <w:tcBorders>
              <w:top w:val="single" w:color="CCCCCC" w:sz="1"/>
              <w:left w:val="single" w:color="CCCCCC" w:sz="1"/>
              <w:bottom w:val="single" w:color="CCCCCC" w:sz="1"/>
              <w:right w:val="single" w:color="CCCCCC" w:sz="1"/>
            </w:tcBorders>
            <w:tcMar>
              <w:top w:type="dxa" w:w="140"/>
              <w:left w:type="dxa" w:w="120"/>
              <w:bottom w:type="dxa" w:w="140"/>
              <w:right w:type="dxa" w:w="120"/>
            </w:tcMar>
          </w:tcPr>
          <w:p>
            <w:r>
              <w:rPr>
                <w:rFonts w:ascii="Calibri" w:cs="Calibri" w:eastAsia="Calibri" w:hAnsi="Calibri"/>
                <w:sz w:val="22"/>
                <w:szCs w:val="22"/>
              </w:rPr>
              <w:t xml:space="preserve"> </w:t>
            </w:r>
          </w:p>
        </w:tc>
        <w:tc>
          <w:tcPr>
            <w:tcW w:type="dxa" w:w="1560"/>
            <w:tcBorders>
              <w:top w:val="single" w:color="CCCCCC" w:sz="1"/>
              <w:left w:val="single" w:color="CCCCCC" w:sz="1"/>
              <w:bottom w:val="single" w:color="CCCCCC" w:sz="1"/>
              <w:right w:val="single" w:color="CCCCCC" w:sz="1"/>
            </w:tcBorders>
            <w:tcMar>
              <w:top w:type="dxa" w:w="140"/>
              <w:left w:type="dxa" w:w="120"/>
              <w:bottom w:type="dxa" w:w="140"/>
              <w:right w:type="dxa" w:w="120"/>
            </w:tcMar>
          </w:tcPr>
          <w:p>
            <w:r>
              <w:rPr>
                <w:rFonts w:ascii="Calibri" w:cs="Calibri" w:eastAsia="Calibri" w:hAnsi="Calibri"/>
                <w:sz w:val="22"/>
                <w:szCs w:val="22"/>
              </w:rPr>
              <w:t xml:space="preserve"> </w:t>
            </w:r>
          </w:p>
        </w:tc>
        <w:tc>
          <w:tcPr>
            <w:tcW w:type="dxa" w:w="1560"/>
            <w:tcBorders>
              <w:top w:val="single" w:color="CCCCCC" w:sz="1"/>
              <w:left w:val="single" w:color="CCCCCC" w:sz="1"/>
              <w:bottom w:val="single" w:color="CCCCCC" w:sz="1"/>
              <w:right w:val="single" w:color="CCCCCC" w:sz="1"/>
            </w:tcBorders>
            <w:tcMar>
              <w:top w:type="dxa" w:w="140"/>
              <w:left w:type="dxa" w:w="120"/>
              <w:bottom w:type="dxa" w:w="140"/>
              <w:right w:type="dxa" w:w="120"/>
            </w:tcMar>
          </w:tcPr>
          <w:p>
            <w:r>
              <w:rPr>
                <w:rFonts w:ascii="Calibri" w:cs="Calibri" w:eastAsia="Calibri" w:hAnsi="Calibri"/>
                <w:sz w:val="22"/>
                <w:szCs w:val="22"/>
              </w:rPr>
              <w:t xml:space="preserve"> </w:t>
            </w:r>
          </w:p>
        </w:tc>
      </w:tr>
      <w:tr>
        <w:tc>
          <w:tcPr>
            <w:tcW w:type="dxa" w:w="4680"/>
            <w:tcBorders>
              <w:top w:val="single" w:color="CCCCCC" w:sz="1"/>
              <w:left w:val="single" w:color="CCCCCC" w:sz="1"/>
              <w:bottom w:val="single" w:color="CCCCCC" w:sz="1"/>
              <w:right w:val="single" w:color="CCCCCC" w:sz="1"/>
            </w:tcBorders>
            <w:tcMar>
              <w:top w:type="dxa" w:w="140"/>
              <w:left w:type="dxa" w:w="120"/>
              <w:bottom w:type="dxa" w:w="140"/>
              <w:right w:type="dxa" w:w="120"/>
            </w:tcMar>
          </w:tcPr>
          <w:p>
            <w:r>
              <w:rPr>
                <w:rFonts w:ascii="Calibri" w:cs="Calibri" w:eastAsia="Calibri" w:hAnsi="Calibri"/>
                <w:sz w:val="22"/>
                <w:szCs w:val="22"/>
              </w:rPr>
              <w:t xml:space="preserve"> </w:t>
            </w:r>
          </w:p>
        </w:tc>
        <w:tc>
          <w:tcPr>
            <w:tcW w:type="dxa" w:w="1560"/>
            <w:tcBorders>
              <w:top w:val="single" w:color="CCCCCC" w:sz="1"/>
              <w:left w:val="single" w:color="CCCCCC" w:sz="1"/>
              <w:bottom w:val="single" w:color="CCCCCC" w:sz="1"/>
              <w:right w:val="single" w:color="CCCCCC" w:sz="1"/>
            </w:tcBorders>
            <w:tcMar>
              <w:top w:type="dxa" w:w="140"/>
              <w:left w:type="dxa" w:w="120"/>
              <w:bottom w:type="dxa" w:w="140"/>
              <w:right w:type="dxa" w:w="120"/>
            </w:tcMar>
          </w:tcPr>
          <w:p>
            <w:r>
              <w:rPr>
                <w:rFonts w:ascii="Calibri" w:cs="Calibri" w:eastAsia="Calibri" w:hAnsi="Calibri"/>
                <w:sz w:val="22"/>
                <w:szCs w:val="22"/>
              </w:rPr>
              <w:t xml:space="preserve"> </w:t>
            </w:r>
          </w:p>
        </w:tc>
        <w:tc>
          <w:tcPr>
            <w:tcW w:type="dxa" w:w="1560"/>
            <w:tcBorders>
              <w:top w:val="single" w:color="CCCCCC" w:sz="1"/>
              <w:left w:val="single" w:color="CCCCCC" w:sz="1"/>
              <w:bottom w:val="single" w:color="CCCCCC" w:sz="1"/>
              <w:right w:val="single" w:color="CCCCCC" w:sz="1"/>
            </w:tcBorders>
            <w:tcMar>
              <w:top w:type="dxa" w:w="140"/>
              <w:left w:type="dxa" w:w="120"/>
              <w:bottom w:type="dxa" w:w="140"/>
              <w:right w:type="dxa" w:w="120"/>
            </w:tcMar>
          </w:tcPr>
          <w:p>
            <w:r>
              <w:rPr>
                <w:rFonts w:ascii="Calibri" w:cs="Calibri" w:eastAsia="Calibri" w:hAnsi="Calibri"/>
                <w:sz w:val="22"/>
                <w:szCs w:val="22"/>
              </w:rPr>
              <w:t xml:space="preserve"> </w:t>
            </w:r>
          </w:p>
        </w:tc>
        <w:tc>
          <w:tcPr>
            <w:tcW w:type="dxa" w:w="1560"/>
            <w:tcBorders>
              <w:top w:val="single" w:color="CCCCCC" w:sz="1"/>
              <w:left w:val="single" w:color="CCCCCC" w:sz="1"/>
              <w:bottom w:val="single" w:color="CCCCCC" w:sz="1"/>
              <w:right w:val="single" w:color="CCCCCC" w:sz="1"/>
            </w:tcBorders>
            <w:tcMar>
              <w:top w:type="dxa" w:w="140"/>
              <w:left w:type="dxa" w:w="120"/>
              <w:bottom w:type="dxa" w:w="140"/>
              <w:right w:type="dxa" w:w="120"/>
            </w:tcMar>
          </w:tcPr>
          <w:p>
            <w:r>
              <w:rPr>
                <w:rFonts w:ascii="Calibri" w:cs="Calibri" w:eastAsia="Calibri" w:hAnsi="Calibri"/>
                <w:sz w:val="22"/>
                <w:szCs w:val="22"/>
              </w:rPr>
              <w:t xml:space="preserve"> </w:t>
            </w:r>
          </w:p>
        </w:tc>
      </w:tr>
      <w:tr>
        <w:tc>
          <w:tcPr>
            <w:tcW w:type="dxa" w:w="4680"/>
            <w:tcBorders>
              <w:top w:val="single" w:color="CCCCCC" w:sz="1"/>
              <w:left w:val="single" w:color="CCCCCC" w:sz="1"/>
              <w:bottom w:val="single" w:color="CCCCCC" w:sz="1"/>
              <w:right w:val="single" w:color="CCCCCC" w:sz="1"/>
            </w:tcBorders>
            <w:tcMar>
              <w:top w:type="dxa" w:w="140"/>
              <w:left w:type="dxa" w:w="120"/>
              <w:bottom w:type="dxa" w:w="140"/>
              <w:right w:type="dxa" w:w="120"/>
            </w:tcMar>
          </w:tcPr>
          <w:p>
            <w:r>
              <w:rPr>
                <w:rFonts w:ascii="Calibri" w:cs="Calibri" w:eastAsia="Calibri" w:hAnsi="Calibri"/>
                <w:sz w:val="22"/>
                <w:szCs w:val="22"/>
              </w:rPr>
              <w:t xml:space="preserve"> </w:t>
            </w:r>
          </w:p>
        </w:tc>
        <w:tc>
          <w:tcPr>
            <w:tcW w:type="dxa" w:w="1560"/>
            <w:tcBorders>
              <w:top w:val="single" w:color="CCCCCC" w:sz="1"/>
              <w:left w:val="single" w:color="CCCCCC" w:sz="1"/>
              <w:bottom w:val="single" w:color="CCCCCC" w:sz="1"/>
              <w:right w:val="single" w:color="CCCCCC" w:sz="1"/>
            </w:tcBorders>
            <w:tcMar>
              <w:top w:type="dxa" w:w="140"/>
              <w:left w:type="dxa" w:w="120"/>
              <w:bottom w:type="dxa" w:w="140"/>
              <w:right w:type="dxa" w:w="120"/>
            </w:tcMar>
          </w:tcPr>
          <w:p>
            <w:r>
              <w:rPr>
                <w:rFonts w:ascii="Calibri" w:cs="Calibri" w:eastAsia="Calibri" w:hAnsi="Calibri"/>
                <w:sz w:val="22"/>
                <w:szCs w:val="22"/>
              </w:rPr>
              <w:t xml:space="preserve"> </w:t>
            </w:r>
          </w:p>
        </w:tc>
        <w:tc>
          <w:tcPr>
            <w:tcW w:type="dxa" w:w="1560"/>
            <w:tcBorders>
              <w:top w:val="single" w:color="CCCCCC" w:sz="1"/>
              <w:left w:val="single" w:color="CCCCCC" w:sz="1"/>
              <w:bottom w:val="single" w:color="CCCCCC" w:sz="1"/>
              <w:right w:val="single" w:color="CCCCCC" w:sz="1"/>
            </w:tcBorders>
            <w:tcMar>
              <w:top w:type="dxa" w:w="140"/>
              <w:left w:type="dxa" w:w="120"/>
              <w:bottom w:type="dxa" w:w="140"/>
              <w:right w:type="dxa" w:w="120"/>
            </w:tcMar>
          </w:tcPr>
          <w:p>
            <w:r>
              <w:rPr>
                <w:rFonts w:ascii="Calibri" w:cs="Calibri" w:eastAsia="Calibri" w:hAnsi="Calibri"/>
                <w:sz w:val="22"/>
                <w:szCs w:val="22"/>
              </w:rPr>
              <w:t xml:space="preserve"> </w:t>
            </w:r>
          </w:p>
        </w:tc>
        <w:tc>
          <w:tcPr>
            <w:tcW w:type="dxa" w:w="1560"/>
            <w:tcBorders>
              <w:top w:val="single" w:color="CCCCCC" w:sz="1"/>
              <w:left w:val="single" w:color="CCCCCC" w:sz="1"/>
              <w:bottom w:val="single" w:color="CCCCCC" w:sz="1"/>
              <w:right w:val="single" w:color="CCCCCC" w:sz="1"/>
            </w:tcBorders>
            <w:tcMar>
              <w:top w:type="dxa" w:w="140"/>
              <w:left w:type="dxa" w:w="120"/>
              <w:bottom w:type="dxa" w:w="140"/>
              <w:right w:type="dxa" w:w="120"/>
            </w:tcMar>
          </w:tcPr>
          <w:p>
            <w:r>
              <w:rPr>
                <w:rFonts w:ascii="Calibri" w:cs="Calibri" w:eastAsia="Calibri" w:hAnsi="Calibri"/>
                <w:sz w:val="22"/>
                <w:szCs w:val="22"/>
              </w:rPr>
              <w:t xml:space="preserve"> </w:t>
            </w:r>
          </w:p>
        </w:tc>
      </w:tr>
      <w:tr>
        <w:tc>
          <w:tcPr>
            <w:tcW w:type="dxa" w:w="4680"/>
            <w:tcBorders>
              <w:top w:val="single" w:color="CCCCCC" w:sz="1"/>
              <w:left w:val="single" w:color="CCCCCC" w:sz="1"/>
              <w:bottom w:val="single" w:color="CCCCCC" w:sz="1"/>
              <w:right w:val="single" w:color="CCCCCC" w:sz="1"/>
            </w:tcBorders>
            <w:tcMar>
              <w:top w:type="dxa" w:w="140"/>
              <w:left w:type="dxa" w:w="120"/>
              <w:bottom w:type="dxa" w:w="140"/>
              <w:right w:type="dxa" w:w="120"/>
            </w:tcMar>
          </w:tcPr>
          <w:p>
            <w:r>
              <w:rPr>
                <w:rFonts w:ascii="Calibri" w:cs="Calibri" w:eastAsia="Calibri" w:hAnsi="Calibri"/>
                <w:sz w:val="22"/>
                <w:szCs w:val="22"/>
              </w:rPr>
              <w:t xml:space="preserve"> </w:t>
            </w:r>
          </w:p>
        </w:tc>
        <w:tc>
          <w:tcPr>
            <w:tcW w:type="dxa" w:w="1560"/>
            <w:tcBorders>
              <w:top w:val="single" w:color="CCCCCC" w:sz="1"/>
              <w:left w:val="single" w:color="CCCCCC" w:sz="1"/>
              <w:bottom w:val="single" w:color="CCCCCC" w:sz="1"/>
              <w:right w:val="single" w:color="CCCCCC" w:sz="1"/>
            </w:tcBorders>
            <w:tcMar>
              <w:top w:type="dxa" w:w="140"/>
              <w:left w:type="dxa" w:w="120"/>
              <w:bottom w:type="dxa" w:w="140"/>
              <w:right w:type="dxa" w:w="120"/>
            </w:tcMar>
          </w:tcPr>
          <w:p>
            <w:r>
              <w:rPr>
                <w:rFonts w:ascii="Calibri" w:cs="Calibri" w:eastAsia="Calibri" w:hAnsi="Calibri"/>
                <w:sz w:val="22"/>
                <w:szCs w:val="22"/>
              </w:rPr>
              <w:t xml:space="preserve"> </w:t>
            </w:r>
          </w:p>
        </w:tc>
        <w:tc>
          <w:tcPr>
            <w:tcW w:type="dxa" w:w="1560"/>
            <w:tcBorders>
              <w:top w:val="single" w:color="CCCCCC" w:sz="1"/>
              <w:left w:val="single" w:color="CCCCCC" w:sz="1"/>
              <w:bottom w:val="single" w:color="CCCCCC" w:sz="1"/>
              <w:right w:val="single" w:color="CCCCCC" w:sz="1"/>
            </w:tcBorders>
            <w:tcMar>
              <w:top w:type="dxa" w:w="140"/>
              <w:left w:type="dxa" w:w="120"/>
              <w:bottom w:type="dxa" w:w="140"/>
              <w:right w:type="dxa" w:w="120"/>
            </w:tcMar>
          </w:tcPr>
          <w:p>
            <w:r>
              <w:rPr>
                <w:rFonts w:ascii="Calibri" w:cs="Calibri" w:eastAsia="Calibri" w:hAnsi="Calibri"/>
                <w:sz w:val="22"/>
                <w:szCs w:val="22"/>
              </w:rPr>
              <w:t xml:space="preserve"> </w:t>
            </w:r>
          </w:p>
        </w:tc>
        <w:tc>
          <w:tcPr>
            <w:tcW w:type="dxa" w:w="1560"/>
            <w:tcBorders>
              <w:top w:val="single" w:color="CCCCCC" w:sz="1"/>
              <w:left w:val="single" w:color="CCCCCC" w:sz="1"/>
              <w:bottom w:val="single" w:color="CCCCCC" w:sz="1"/>
              <w:right w:val="single" w:color="CCCCCC" w:sz="1"/>
            </w:tcBorders>
            <w:tcMar>
              <w:top w:type="dxa" w:w="140"/>
              <w:left w:type="dxa" w:w="120"/>
              <w:bottom w:type="dxa" w:w="140"/>
              <w:right w:type="dxa" w:w="120"/>
            </w:tcMar>
          </w:tcPr>
          <w:p>
            <w:r>
              <w:rPr>
                <w:rFonts w:ascii="Calibri" w:cs="Calibri" w:eastAsia="Calibri" w:hAnsi="Calibri"/>
                <w:sz w:val="22"/>
                <w:szCs w:val="22"/>
              </w:rPr>
              <w:t xml:space="preserve"> </w:t>
            </w:r>
          </w:p>
        </w:tc>
      </w:tr>
      <w:tr>
        <w:tc>
          <w:tcPr>
            <w:tcW w:type="dxa" w:w="4680"/>
            <w:tcBorders>
              <w:top w:val="single" w:color="CCCCCC" w:sz="1"/>
              <w:left w:val="single" w:color="CCCCCC" w:sz="1"/>
              <w:bottom w:val="single" w:color="CCCCCC" w:sz="1"/>
              <w:right w:val="single" w:color="CCCCCC" w:sz="1"/>
            </w:tcBorders>
            <w:tcMar>
              <w:top w:type="dxa" w:w="140"/>
              <w:left w:type="dxa" w:w="120"/>
              <w:bottom w:type="dxa" w:w="140"/>
              <w:right w:type="dxa" w:w="120"/>
            </w:tcMar>
          </w:tcPr>
          <w:p>
            <w:r>
              <w:rPr>
                <w:rFonts w:ascii="Calibri" w:cs="Calibri" w:eastAsia="Calibri" w:hAnsi="Calibri"/>
                <w:sz w:val="22"/>
                <w:szCs w:val="22"/>
              </w:rPr>
              <w:t xml:space="preserve"> </w:t>
            </w:r>
          </w:p>
        </w:tc>
        <w:tc>
          <w:tcPr>
            <w:tcW w:type="dxa" w:w="1560"/>
            <w:tcBorders>
              <w:top w:val="single" w:color="CCCCCC" w:sz="1"/>
              <w:left w:val="single" w:color="CCCCCC" w:sz="1"/>
              <w:bottom w:val="single" w:color="CCCCCC" w:sz="1"/>
              <w:right w:val="single" w:color="CCCCCC" w:sz="1"/>
            </w:tcBorders>
            <w:tcMar>
              <w:top w:type="dxa" w:w="140"/>
              <w:left w:type="dxa" w:w="120"/>
              <w:bottom w:type="dxa" w:w="140"/>
              <w:right w:type="dxa" w:w="120"/>
            </w:tcMar>
          </w:tcPr>
          <w:p>
            <w:r>
              <w:rPr>
                <w:rFonts w:ascii="Calibri" w:cs="Calibri" w:eastAsia="Calibri" w:hAnsi="Calibri"/>
                <w:sz w:val="22"/>
                <w:szCs w:val="22"/>
              </w:rPr>
              <w:t xml:space="preserve"> </w:t>
            </w:r>
          </w:p>
        </w:tc>
        <w:tc>
          <w:tcPr>
            <w:tcW w:type="dxa" w:w="1560"/>
            <w:tcBorders>
              <w:top w:val="single" w:color="CCCCCC" w:sz="1"/>
              <w:left w:val="single" w:color="CCCCCC" w:sz="1"/>
              <w:bottom w:val="single" w:color="CCCCCC" w:sz="1"/>
              <w:right w:val="single" w:color="CCCCCC" w:sz="1"/>
            </w:tcBorders>
            <w:tcMar>
              <w:top w:type="dxa" w:w="140"/>
              <w:left w:type="dxa" w:w="120"/>
              <w:bottom w:type="dxa" w:w="140"/>
              <w:right w:type="dxa" w:w="120"/>
            </w:tcMar>
          </w:tcPr>
          <w:p>
            <w:r>
              <w:rPr>
                <w:rFonts w:ascii="Calibri" w:cs="Calibri" w:eastAsia="Calibri" w:hAnsi="Calibri"/>
                <w:sz w:val="22"/>
                <w:szCs w:val="22"/>
              </w:rPr>
              <w:t xml:space="preserve"> </w:t>
            </w:r>
          </w:p>
        </w:tc>
        <w:tc>
          <w:tcPr>
            <w:tcW w:type="dxa" w:w="1560"/>
            <w:tcBorders>
              <w:top w:val="single" w:color="CCCCCC" w:sz="1"/>
              <w:left w:val="single" w:color="CCCCCC" w:sz="1"/>
              <w:bottom w:val="single" w:color="CCCCCC" w:sz="1"/>
              <w:right w:val="single" w:color="CCCCCC" w:sz="1"/>
            </w:tcBorders>
            <w:tcMar>
              <w:top w:type="dxa" w:w="140"/>
              <w:left w:type="dxa" w:w="120"/>
              <w:bottom w:type="dxa" w:w="140"/>
              <w:right w:type="dxa" w:w="120"/>
            </w:tcMar>
          </w:tcPr>
          <w:p>
            <w:r>
              <w:rPr>
                <w:rFonts w:ascii="Calibri" w:cs="Calibri" w:eastAsia="Calibri" w:hAnsi="Calibri"/>
                <w:sz w:val="22"/>
                <w:szCs w:val="22"/>
              </w:rPr>
              <w:t xml:space="preserve"> </w:t>
            </w:r>
          </w:p>
        </w:tc>
      </w:tr>
    </w:tbl>
    <w:p>
      <w:pPr>
        <w:spacing w:before="200"/>
      </w:pPr>
      <w:r>
        <w:rPr>
          <w:rFonts w:ascii="Calibri" w:cs="Calibri" w:eastAsia="Calibri" w:hAnsi="Calibri"/>
          <w:b/>
          <w:bCs/>
          <w:sz w:val="22"/>
          <w:szCs w:val="22"/>
        </w:rPr>
        <w:t xml:space="preserve">Cargos por Servicio de Emergencia (no sujetos al descuento por pago inmediato):</w:t>
      </w:r>
    </w:p>
    <w:p>
      <w:pPr>
        <w:pStyle w:val="ListParagraph"/>
        <w:numPr>
          <w:ilvl w:val="0"/>
          <w:numId w:val="2"/>
        </w:numPr>
        <w:spacing w:after="80" w:line="300"/>
      </w:pPr>
      <w:r>
        <w:rPr>
          <w:rFonts w:ascii="Calibri" w:cs="Calibri" w:eastAsia="Calibri" w:hAnsi="Calibri"/>
          <w:sz w:val="22"/>
          <w:szCs w:val="22"/>
        </w:rPr>
        <w:t xml:space="preserve">Llamada fuera de horario / fin de semana: $500.00</w:t>
      </w:r>
    </w:p>
    <w:p>
      <w:pPr>
        <w:pStyle w:val="ListParagraph"/>
        <w:numPr>
          <w:ilvl w:val="0"/>
          <w:numId w:val="2"/>
        </w:numPr>
        <w:spacing w:after="80" w:line="300"/>
      </w:pPr>
      <w:r>
        <w:rPr>
          <w:rFonts w:ascii="Calibri" w:cs="Calibri" w:eastAsia="Calibri" w:hAnsi="Calibri"/>
          <w:sz w:val="22"/>
          <w:szCs w:val="22"/>
        </w:rPr>
        <w:t xml:space="preserve">Llamada en día festivo: $1,000.00</w:t>
      </w:r>
    </w:p>
    <w:p>
      <w:pPr>
        <w:pStyle w:val="ListParagraph"/>
        <w:numPr>
          <w:ilvl w:val="0"/>
          <w:numId w:val="2"/>
        </w:numPr>
        <w:spacing w:after="80" w:line="300"/>
      </w:pPr>
      <w:r>
        <w:rPr>
          <w:rFonts w:ascii="Calibri" w:cs="Calibri" w:eastAsia="Calibri" w:hAnsi="Calibri"/>
          <w:sz w:val="22"/>
          <w:szCs w:val="22"/>
        </w:rPr>
        <w:t xml:space="preserve">Cargo por viaje (visita perdida o sin acceso): $125.00</w:t>
      </w:r>
    </w:p>
    <w:p>
      <w:pPr>
        <w:spacing w:before="320"/>
        <w:jc w:val="center"/>
      </w:pPr>
      <w:r>
        <w:rPr>
          <w:rFonts w:ascii="Calibri" w:cs="Calibri" w:eastAsia="Calibri" w:hAnsi="Calibri"/>
          <w:i/>
          <w:iCs/>
          <w:color w:val="666666"/>
          <w:sz w:val="20"/>
          <w:szCs w:val="20"/>
        </w:rPr>
        <w:t xml:space="preserve">— Fin del Contrato —</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Página </w:t>
    </w:r>
    <w:r>
      <w:rPr>
        <w:rFonts w:ascii="Calibri" w:cs="Calibri" w:eastAsia="Calibri" w:hAnsi="Calibri"/>
        <w:color w:val="888888"/>
        <w:sz w:val="16"/>
        <w:szCs w:val="16"/>
      </w:rPr>
      <w:fldChar w:fldCharType="begin"/>
      <w:instrText xml:space="preserve">PAGE</w:instrText>
      <w:fldChar w:fldCharType="separate"/>
      <w:fldChar w:fldCharType="end"/>
    </w:r>
    <w:r>
      <w:rPr>
        <w:rFonts w:ascii="Calibri" w:cs="Calibri" w:eastAsia="Calibri" w:hAnsi="Calibri"/>
        <w:color w:val="888888"/>
        <w:sz w:val="16"/>
        <w:szCs w:val="16"/>
      </w:rPr>
      <w:t xml:space="preserve"> de </w:t>
    </w:r>
    <w:r>
      <w:rPr>
        <w:rFonts w:ascii="Calibri" w:cs="Calibri" w:eastAsia="Calibri" w:hAnsi="Calibri"/>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888888"/>
        <w:sz w:val="16"/>
        <w:szCs w:val="16"/>
      </w:rPr>
      <w:t xml:space="preserve">Stephens Advanced LLC  •  Contrato de Servicio Recurrente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Calibri" w:cs="Calibri" w:eastAsia="Calibri" w:hAnsi="Calibri"/>
      <w:b/>
      <w:bCs/>
      <w:color w:val="0D0F1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2026-04-16T17:30:20.247Z</dcterms:created>
  <dcterms:modified xsi:type="dcterms:W3CDTF">2026-04-16T17:30:20.247Z</dcterms:modified>
</cp:coreProperties>
</file>

<file path=docProps/custom.xml><?xml version="1.0" encoding="utf-8"?>
<Properties xmlns="http://schemas.openxmlformats.org/officeDocument/2006/custom-properties" xmlns:vt="http://schemas.openxmlformats.org/officeDocument/2006/docPropsVTypes"/>
</file>