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Template | Analytics Leadership</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[Company]</w:t>
        <w:br/>
        <w:t>[Role]</w:t>
      </w:r>
    </w:p>
    <w:p>
      <w:pPr>
        <w:spacing w:after="160"/>
      </w:pPr>
      <w:r>
        <w:t>Dear Hiring Team,</w:t>
      </w:r>
    </w:p>
    <w:p>
      <w:pPr>
        <w:spacing w:after="100" w:line="259" w:lineRule="auto"/>
      </w:pPr>
      <w:r>
        <w:t>I am targeting Head and Director-level analytics leadership roles where the mandate goes beyond reporting and into KPI governance, executive decision systems, and measurable operating change.</w:t>
      </w:r>
    </w:p>
    <w:p>
      <w:pPr>
        <w:spacing w:after="100" w:line="259" w:lineRule="auto"/>
      </w:pPr>
      <w:r>
        <w:t>My background combines commercial leadership with hands-on analytics and applied AI delivery. I currently own EMEA commercial analytics at Medline across pricing, forecasting, margin, CRM analytics, incentives, and executive business reviews.</w:t>
      </w:r>
    </w:p>
    <w:p>
      <w:pPr>
        <w:spacing w:after="100" w:line="259" w:lineRule="auto"/>
      </w:pPr>
      <w:r>
        <w:t>Across recent roles, I have corrected broken reporting logic, rebuilt trust in performance data, and created decision-ready workflows across Python, SQL, Power BI, machine learning, and governed LLM systems.</w:t>
      </w:r>
    </w:p>
    <w:p>
      <w:pPr>
        <w:spacing w:after="100" w:line="259" w:lineRule="auto"/>
      </w:pPr>
      <w:r>
        <w:t>The measurable outcomes matter. I delivered EUR 3M sales growth against an initial target of approximately EUR 300k, generated EUR 1.3M UK growth in 2023 at roughly 4x target, and repeatedly improved executive decision quality by strengthening how data is interpreted and used.</w:t>
      </w:r>
    </w:p>
    <w:p>
      <w:pPr>
        <w:spacing w:after="100" w:line="259" w:lineRule="auto"/>
      </w:pPr>
      <w:r>
        <w:t>I would bring a practical, hands-on leadership style centered on KPI clarity, data trust, cross-functional influence, and measurable value creation.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