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Analytics Leadership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 Director of Analytics | Head / Director of Data &amp; Analytics | Head of Commercial Analytics | KPI Governance | Executive Decision Systems</w:t>
      </w:r>
    </w:p>
    <w:p>
      <w:pPr>
        <w:pStyle w:val="Heading1"/>
        <w:spacing w:before="160" w:after="80"/>
      </w:pPr>
      <w:r>
        <w:rPr>
          <w:color w:val="0A192F"/>
        </w:rPr>
        <w:t>EXECUTIVE PROFILE</w:t>
      </w:r>
    </w:p>
    <w:p>
      <w:pPr>
        <w:spacing w:after="100" w:line="259" w:lineRule="auto"/>
      </w:pPr>
      <w:r>
        <w:t>Commercial analytics and applied AI leader with 13+ years across commercial leadership and analytics, including pricing, forecasting, margin analysis, CRM governance, acquisition integration, and data transformation. Proven record of building trusted decision systems, correcting broken measurement logic, and translating fragmented data into executive-ready insights across Sales, Finance, BI, IT, and leadership teams. Combines strategic analytics ownership with hands-on delivery in Python, SQL, Power BI, machine learning, and governed LLM workflows. Most relevant where a business needs stronger KPI governance, analytics maturity, cross-functional operating rhythms, and practical AI-enabled decision support.</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KPI governance</w:t>
            </w:r>
          </w:p>
        </w:tc>
        <w:tc>
          <w:tcPr>
            <w:tcW w:type="dxa" w:w="8208"/>
          </w:tcPr>
          <w:p>
            <w:pPr>
              <w:spacing w:after="0" w:line="240" w:lineRule="auto"/>
            </w:pPr>
            <w:r>
              <w:rPr>
                <w:sz w:val="18"/>
              </w:rPr>
              <w:t>Corrected 10+ years of FX and reporting methodology issues and rebuilt PVFX logic to restore trust in commercial decisions.</w:t>
            </w:r>
          </w:p>
        </w:tc>
      </w:tr>
      <w:tr>
        <w:tc>
          <w:tcPr>
            <w:tcW w:type="dxa" w:w="2304"/>
          </w:tcPr>
          <w:p>
            <w:pPr>
              <w:spacing w:after="0" w:line="240" w:lineRule="auto"/>
            </w:pPr>
            <w:r>
              <w:rPr>
                <w:b/>
                <w:color w:val="0A192F"/>
                <w:sz w:val="18"/>
              </w:rPr>
              <w:t>Executive decision systems</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Commercial impact</w:t>
            </w:r>
          </w:p>
        </w:tc>
        <w:tc>
          <w:tcPr>
            <w:tcW w:type="dxa" w:w="8208"/>
          </w:tcPr>
          <w:p>
            <w:pPr>
              <w:spacing w:after="0" w:line="240" w:lineRule="auto"/>
            </w:pPr>
            <w:r>
              <w:rPr>
                <w:sz w:val="18"/>
              </w:rPr>
              <w:t>Delivered EUR 3M sales growth against an initial target of approximately EUR 300k and EUR 1.3M UK growth in 2023 at roughly 4x target.</w:t>
            </w:r>
          </w:p>
        </w:tc>
      </w:tr>
      <w:tr>
        <w:tc>
          <w:tcPr>
            <w:tcW w:type="dxa" w:w="2304"/>
          </w:tcPr>
          <w:p>
            <w:pPr>
              <w:spacing w:after="0" w:line="240" w:lineRule="auto"/>
            </w:pPr>
            <w:r>
              <w:rPr>
                <w:b/>
                <w:color w:val="0A192F"/>
                <w:sz w:val="18"/>
              </w:rPr>
              <w:t>Cross-functional leadership</w:t>
            </w:r>
          </w:p>
        </w:tc>
        <w:tc>
          <w:tcPr>
            <w:tcW w:type="dxa" w:w="8208"/>
          </w:tcPr>
          <w:p>
            <w:pPr>
              <w:spacing w:after="0" w:line="240" w:lineRule="auto"/>
            </w:pPr>
            <w:r>
              <w:rPr>
                <w:sz w:val="18"/>
              </w:rPr>
              <w:t>Operate across Sales, Finance, BI, IT, and country teams, including customer-level integration across two acquisitions.</w:t>
            </w:r>
          </w:p>
        </w:tc>
      </w:tr>
      <w:tr>
        <w:tc>
          <w:tcPr>
            <w:tcW w:type="dxa" w:w="2304"/>
          </w:tcPr>
          <w:p>
            <w:pPr>
              <w:spacing w:after="0" w:line="240" w:lineRule="auto"/>
            </w:pPr>
            <w:r>
              <w:rPr>
                <w:b/>
                <w:color w:val="0A192F"/>
                <w:sz w:val="18"/>
              </w:rPr>
              <w:t>Applied AI</w:t>
            </w:r>
          </w:p>
        </w:tc>
        <w:tc>
          <w:tcPr>
            <w:tcW w:type="dxa" w:w="8208"/>
          </w:tcPr>
          <w:p>
            <w:pPr>
              <w:spacing w:after="0" w:line="240" w:lineRule="auto"/>
            </w:pPr>
            <w:r>
              <w:rPr>
                <w:sz w:val="18"/>
              </w:rPr>
              <w:t>Build controlled workflows across Python, SQL, Power BI, ML, and LLM systems where they improve auditability and speed.</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