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Executive Recruiter One-Pager</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EXECUTIVE PROFILE</w:t>
      </w:r>
    </w:p>
    <w:p>
      <w:pPr>
        <w:spacing w:after="100" w:line="259" w:lineRule="auto"/>
      </w:pPr>
      <w:r>
        <w:t>Commercial analytics and applied AI leader with 13+ years across commercial leadership and analytics, including pricing, forecasting, margin analysis, CRM governance, acquisition integration, and data transformation. Proven record of building trusted decision systems, correcting broken measurement logic, and translating fragmented data into executive-ready insights across Sales, Finance, BI, IT, and leadership teams. Combines strategic analytics ownership with hands-on delivery in Python, SQL, Power BI, machine learning, and governed LLM workflows. Most relevant where a business needs stronger KPI governance, analytics maturity, cross-functional operating rhythms, and practical AI-enabled decision support.</w:t>
      </w:r>
    </w:p>
    <w:p>
      <w:pPr>
        <w:pStyle w:val="Heading1"/>
        <w:spacing w:before="160" w:after="80"/>
      </w:pPr>
      <w:r>
        <w:rPr>
          <w:color w:val="0A192F"/>
        </w:rPr>
        <w:t>TARGET ROLE FAMILIES</w:t>
      </w:r>
    </w:p>
    <w:p>
      <w:pPr>
        <w:spacing w:after="60" w:line="252" w:lineRule="auto"/>
        <w:ind w:left="259" w:hanging="259"/>
      </w:pPr>
      <w:r>
        <w:rPr>
          <w:sz w:val="20"/>
        </w:rPr>
        <w:t>• Head of Analytics</w:t>
      </w:r>
    </w:p>
    <w:p>
      <w:pPr>
        <w:spacing w:after="60" w:line="252" w:lineRule="auto"/>
        <w:ind w:left="259" w:hanging="259"/>
      </w:pPr>
      <w:r>
        <w:rPr>
          <w:sz w:val="20"/>
        </w:rPr>
        <w:t>• Director of Analytics</w:t>
      </w:r>
    </w:p>
    <w:p>
      <w:pPr>
        <w:spacing w:after="60" w:line="252" w:lineRule="auto"/>
        <w:ind w:left="259" w:hanging="259"/>
      </w:pPr>
      <w:r>
        <w:rPr>
          <w:sz w:val="20"/>
        </w:rPr>
        <w:t>• Head of Commercial Analytics</w:t>
      </w:r>
    </w:p>
    <w:p>
      <w:pPr>
        <w:spacing w:after="60" w:line="252" w:lineRule="auto"/>
        <w:ind w:left="259" w:hanging="259"/>
      </w:pPr>
      <w:r>
        <w:rPr>
          <w:sz w:val="20"/>
        </w:rPr>
        <w:t>• Director of Data &amp; Analytics</w:t>
      </w:r>
    </w:p>
    <w:p>
      <w:pPr>
        <w:spacing w:after="60" w:line="252" w:lineRule="auto"/>
        <w:ind w:left="259" w:hanging="259"/>
      </w:pPr>
      <w:r>
        <w:rPr>
          <w:sz w:val="20"/>
        </w:rPr>
        <w:t>• Selective AI transformation leadership roles</w:t>
      </w:r>
    </w:p>
    <w:p>
      <w:pPr>
        <w:pStyle w:val="Heading1"/>
        <w:spacing w:before="160" w:after="80"/>
      </w:pPr>
      <w:r>
        <w:rPr>
          <w:color w:val="0A192F"/>
        </w:rPr>
        <w:t>SIGNATURE PROOF POINTS</w:t>
      </w:r>
    </w:p>
    <w:p>
      <w:pPr>
        <w:spacing w:after="60" w:line="252" w:lineRule="auto"/>
        <w:ind w:left="259" w:hanging="259"/>
      </w:pPr>
      <w:r>
        <w:rPr>
          <w:sz w:val="20"/>
        </w:rPr>
        <w:t>• EUR 3M sales growth delivered against an initial target of approximately EUR 300k</w:t>
      </w:r>
    </w:p>
    <w:p>
      <w:pPr>
        <w:spacing w:after="60" w:line="252" w:lineRule="auto"/>
        <w:ind w:left="259" w:hanging="259"/>
      </w:pPr>
      <w:r>
        <w:rPr>
          <w:sz w:val="20"/>
        </w:rPr>
        <w:t>• EUR 1.3M UK growth in 2023 at roughly 4x target</w:t>
      </w:r>
    </w:p>
    <w:p>
      <w:pPr>
        <w:spacing w:after="60" w:line="252" w:lineRule="auto"/>
        <w:ind w:left="259" w:hanging="259"/>
      </w:pPr>
      <w:r>
        <w:rPr>
          <w:sz w:val="20"/>
        </w:rPr>
        <w:t>• 4% to 57% inside-sales turnaround across 38 markets</w:t>
      </w:r>
    </w:p>
    <w:p>
      <w:pPr>
        <w:spacing w:after="60" w:line="252" w:lineRule="auto"/>
        <w:ind w:left="259" w:hanging="259"/>
      </w:pPr>
      <w:r>
        <w:rPr>
          <w:sz w:val="20"/>
        </w:rPr>
        <w:t>• Corrected 10+ years of FX and reporting methodology issues</w:t>
      </w:r>
    </w:p>
    <w:p>
      <w:pPr>
        <w:spacing w:after="60" w:line="252" w:lineRule="auto"/>
        <w:ind w:left="259" w:hanging="259"/>
      </w:pPr>
      <w:r>
        <w:rPr>
          <w:sz w:val="20"/>
        </w:rPr>
        <w:t>• Current ownership of EMEA commercial analytics across pricing, forecasting, margin, CRM, incentives, and executive business reviews</w:t>
      </w:r>
    </w:p>
    <w:p>
      <w:pPr>
        <w:pStyle w:val="Heading1"/>
        <w:spacing w:before="160" w:after="80"/>
      </w:pPr>
      <w:r>
        <w:rPr>
          <w:color w:val="0A192F"/>
        </w:rPr>
        <w:t>SEARCH-MANDATE FIT</w:t>
      </w:r>
    </w:p>
    <w:p>
      <w:pPr>
        <w:spacing w:after="60" w:line="252" w:lineRule="auto"/>
        <w:ind w:left="259" w:hanging="259"/>
      </w:pPr>
      <w:r>
        <w:rPr>
          <w:sz w:val="20"/>
        </w:rPr>
        <w:t>• Strong for mandates that need KPI governance, executive decision systems, and cross-functional operating change.</w:t>
      </w:r>
    </w:p>
    <w:p>
      <w:pPr>
        <w:spacing w:after="60" w:line="252" w:lineRule="auto"/>
        <w:ind w:left="259" w:hanging="259"/>
      </w:pPr>
      <w:r>
        <w:rPr>
          <w:sz w:val="20"/>
        </w:rPr>
        <w:t>• Commercial operator to analytics architect to applied AI leader narrative is differentiated and recruiter-friendly.</w:t>
      </w:r>
    </w:p>
    <w:p>
      <w:pPr>
        <w:spacing w:after="60" w:line="252" w:lineRule="auto"/>
        <w:ind w:left="259" w:hanging="259"/>
      </w:pPr>
      <w:r>
        <w:rPr>
          <w:sz w:val="20"/>
        </w:rPr>
        <w:t>• Works well for Germany / DACH / Europe-remote analytics leadership and selective AI transformation searches.</w:t>
      </w:r>
    </w:p>
    <w:p>
      <w:pPr>
        <w:pStyle w:val="Heading1"/>
        <w:spacing w:before="160" w:after="80"/>
      </w:pPr>
      <w:r>
        <w:rPr>
          <w:color w:val="0A192F"/>
        </w:rPr>
        <w:t>TECHNICAL AND OPERATING STACK</w:t>
      </w:r>
    </w:p>
    <w:p>
      <w:pPr>
        <w:spacing w:after="100" w:line="259" w:lineRule="auto"/>
      </w:pPr>
      <w:r>
        <w:t>Python | SQL | Power BI | Machine Learning | LLM Workflows | KPI Governance | Executive Reporting | CRM Analytics | Forecasting | Pricing | Margin Analysis | Data Quality | Cross-Functional Leadership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