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Analytics Leadership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 Director of Analytics | Head / Director of Data &amp; Analytics | Head of Commercial Analytics | KPI Governance | Executive Decision Systems</w:t>
      </w:r>
    </w:p>
    <w:p>
      <w:pPr>
        <w:pStyle w:val="Heading1"/>
        <w:spacing w:before="160" w:after="80"/>
      </w:pPr>
      <w:r>
        <w:rPr>
          <w:color w:val="0A192F"/>
        </w:rPr>
        <w:t>EXECUTIVE PROFILE</w:t>
      </w:r>
    </w:p>
    <w:p>
      <w:pPr>
        <w:spacing w:after="100" w:line="259" w:lineRule="auto"/>
      </w:pPr>
      <w:r>
        <w:t>Commercial analytics and applied AI leader with 13+ years across commercial leadership and analytics, including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 Most relevant where a SaaS company needs BI roadmap ownership, funnel visibility, metric trust, and a hands-on strategic leader who can improve both decision quality and adoption.</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BI roadmap</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Stakeholder translation</w:t>
            </w:r>
          </w:p>
        </w:tc>
        <w:tc>
          <w:tcPr>
            <w:tcW w:type="dxa" w:w="8208"/>
          </w:tcPr>
          <w:p>
            <w:pPr>
              <w:spacing w:after="0" w:line="240" w:lineRule="auto"/>
            </w:pPr>
            <w:r>
              <w:rPr>
                <w:sz w:val="18"/>
              </w:rPr>
              <w:t>Translate complex commercial data into executive narratives linking revenue, margin, price, volume, mix, FX, and customer behavior.</w:t>
            </w:r>
          </w:p>
        </w:tc>
      </w:tr>
      <w:tr>
        <w:tc>
          <w:tcPr>
            <w:tcW w:type="dxa" w:w="2304"/>
          </w:tcPr>
          <w:p>
            <w:pPr>
              <w:spacing w:after="0" w:line="240" w:lineRule="auto"/>
            </w:pPr>
            <w:r>
              <w:rPr>
                <w:b/>
                <w:color w:val="0A192F"/>
                <w:sz w:val="18"/>
              </w:rPr>
              <w:t>Reporting trust</w:t>
            </w:r>
          </w:p>
        </w:tc>
        <w:tc>
          <w:tcPr>
            <w:tcW w:type="dxa" w:w="8208"/>
          </w:tcPr>
          <w:p>
            <w:pPr>
              <w:spacing w:after="0" w:line="240" w:lineRule="auto"/>
            </w:pPr>
            <w:r>
              <w:rPr>
                <w:sz w:val="18"/>
              </w:rPr>
              <w:t>Corrected 10+ years of FX and reporting methodology issues and rebuilt PVFX logic to restore decision confidence.</w:t>
            </w:r>
          </w:p>
        </w:tc>
      </w:tr>
      <w:tr>
        <w:tc>
          <w:tcPr>
            <w:tcW w:type="dxa" w:w="2304"/>
          </w:tcPr>
          <w:p>
            <w:pPr>
              <w:spacing w:after="0" w:line="240" w:lineRule="auto"/>
            </w:pPr>
            <w:r>
              <w:rPr>
                <w:b/>
                <w:color w:val="0A192F"/>
                <w:sz w:val="18"/>
              </w:rPr>
              <w:t>Hands-on leadership</w:t>
            </w:r>
          </w:p>
        </w:tc>
        <w:tc>
          <w:tcPr>
            <w:tcW w:type="dxa" w:w="8208"/>
          </w:tcPr>
          <w:p>
            <w:pPr>
              <w:spacing w:after="0" w:line="240" w:lineRule="auto"/>
            </w:pPr>
            <w:r>
              <w:rPr>
                <w:sz w:val="18"/>
              </w:rPr>
              <w:t>Build workflows across Python, SQL, Power BI, ML, and controlled LLM systems while staying close to the analytical work.</w:t>
            </w:r>
          </w:p>
        </w:tc>
      </w:tr>
      <w:tr>
        <w:tc>
          <w:tcPr>
            <w:tcW w:type="dxa" w:w="2304"/>
          </w:tcPr>
          <w:p>
            <w:pPr>
              <w:spacing w:after="0" w:line="240" w:lineRule="auto"/>
            </w:pPr>
            <w:r>
              <w:rPr>
                <w:b/>
                <w:color w:val="0A192F"/>
                <w:sz w:val="18"/>
              </w:rPr>
              <w:t>Sales-funnel relevance</w:t>
            </w:r>
          </w:p>
        </w:tc>
        <w:tc>
          <w:tcPr>
            <w:tcW w:type="dxa" w:w="8208"/>
          </w:tcPr>
          <w:p>
            <w:pPr>
              <w:spacing w:after="0" w:line="240" w:lineRule="auto"/>
            </w:pPr>
            <w:r>
              <w:rPr>
                <w:sz w:val="18"/>
              </w:rPr>
              <w:t>Built analytics for customer segmentation, forecasting, targeting, and account prioritization to guide commercial strategy.</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