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Analytics Leadership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 Director of Analytics | Head / Director of Data &amp; Analytics | Head of Commercial Analytics | KPI Governance | Executive Decision Systems</w:t>
      </w:r>
    </w:p>
    <w:p>
      <w:pPr>
        <w:pStyle w:val="Heading1"/>
        <w:spacing w:before="160" w:after="80"/>
      </w:pPr>
      <w:r>
        <w:rPr>
          <w:color w:val="0A192F"/>
        </w:rPr>
        <w:t>EXECUTIVE PROFILE</w:t>
      </w:r>
    </w:p>
    <w:p>
      <w:pPr>
        <w:spacing w:after="100" w:line="259" w:lineRule="auto"/>
      </w:pPr>
      <w:r>
        <w:t>Commercial analytics and applied AI leader with 13+ years across commercial leadership and analytics, including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 Strong fit for analytics leadership roles that require business intelligence, data quality, scalable reporting, and revenue-linked analytics strategy.</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Business intelligence</w:t>
            </w:r>
          </w:p>
        </w:tc>
        <w:tc>
          <w:tcPr>
            <w:tcW w:type="dxa" w:w="8208"/>
          </w:tcPr>
          <w:p>
            <w:pPr>
              <w:spacing w:after="0" w:line="240" w:lineRule="auto"/>
            </w:pPr>
            <w:r>
              <w:rPr>
                <w:sz w:val="18"/>
              </w:rPr>
              <w:t>Build executive-ready reporting and analytical workflows across Power BI, Python, SQL, ML, and controlled LLM systems.</w:t>
            </w:r>
          </w:p>
        </w:tc>
      </w:tr>
      <w:tr>
        <w:tc>
          <w:tcPr>
            <w:tcW w:type="dxa" w:w="2304"/>
          </w:tcPr>
          <w:p>
            <w:pPr>
              <w:spacing w:after="0" w:line="240" w:lineRule="auto"/>
            </w:pPr>
            <w:r>
              <w:rPr>
                <w:b/>
                <w:color w:val="0A192F"/>
                <w:sz w:val="18"/>
              </w:rPr>
              <w:t>KPI visibility</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Data integrity</w:t>
            </w:r>
          </w:p>
        </w:tc>
        <w:tc>
          <w:tcPr>
            <w:tcW w:type="dxa" w:w="8208"/>
          </w:tcPr>
          <w:p>
            <w:pPr>
              <w:spacing w:after="0" w:line="240" w:lineRule="auto"/>
            </w:pPr>
            <w:r>
              <w:rPr>
                <w:sz w:val="18"/>
              </w:rPr>
              <w:t>Corrected long-running FX and reporting logic issues that were distorting commercial decisions.</w:t>
            </w:r>
          </w:p>
        </w:tc>
      </w:tr>
      <w:tr>
        <w:tc>
          <w:tcPr>
            <w:tcW w:type="dxa" w:w="2304"/>
          </w:tcPr>
          <w:p>
            <w:pPr>
              <w:spacing w:after="0" w:line="240" w:lineRule="auto"/>
            </w:pPr>
            <w:r>
              <w:rPr>
                <w:b/>
                <w:color w:val="0A192F"/>
                <w:sz w:val="18"/>
              </w:rPr>
              <w:t>Revenue impact</w:t>
            </w:r>
          </w:p>
        </w:tc>
        <w:tc>
          <w:tcPr>
            <w:tcW w:type="dxa" w:w="8208"/>
          </w:tcPr>
          <w:p>
            <w:pPr>
              <w:spacing w:after="0" w:line="240" w:lineRule="auto"/>
            </w:pPr>
            <w:r>
              <w:rPr>
                <w:sz w:val="18"/>
              </w:rPr>
              <w:t>Delivered EUR 3M sales growth against an initial target of approximately EUR 300k and EUR 1.3M UK growth in 2023 at roughly 4x target.</w:t>
            </w:r>
          </w:p>
        </w:tc>
      </w:tr>
      <w:tr>
        <w:tc>
          <w:tcPr>
            <w:tcW w:type="dxa" w:w="2304"/>
          </w:tcPr>
          <w:p>
            <w:pPr>
              <w:spacing w:after="0" w:line="240" w:lineRule="auto"/>
            </w:pPr>
            <w:r>
              <w:rPr>
                <w:b/>
                <w:color w:val="0A192F"/>
                <w:sz w:val="18"/>
              </w:rPr>
              <w:t>Cross-functional work</w:t>
            </w:r>
          </w:p>
        </w:tc>
        <w:tc>
          <w:tcPr>
            <w:tcW w:type="dxa" w:w="8208"/>
          </w:tcPr>
          <w:p>
            <w:pPr>
              <w:spacing w:after="0" w:line="240" w:lineRule="auto"/>
            </w:pPr>
            <w:r>
              <w:rPr>
                <w:sz w:val="18"/>
              </w:rPr>
              <w:t>Partner across Sales, Finance, BI, IT, and country teams to improve trust in operating data and decision speed.</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