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40"/>
        </w:rPr>
        <w:t>Jason Rae</w:t>
      </w:r>
    </w:p>
    <w:p>
      <w:pPr>
        <w:jc w:val="center"/>
      </w:pPr>
      <w:r>
        <w:rPr>
          <w:color w:val="5A5A5A"/>
          <w:sz w:val="22"/>
        </w:rPr>
        <w:t>Commercial Analytics &amp; Applied AI Leader | Analytics Leadership Target</w:t>
      </w:r>
    </w:p>
    <w:p>
      <w:pPr>
        <w:jc w:val="center"/>
      </w:pPr>
      <w:r>
        <w:rPr>
          <w:color w:val="5A5A5A"/>
          <w:sz w:val="18"/>
        </w:rPr>
        <w:t>Stuttgart, Germany | Jason_C_Rae@Outlook.com | jasonrae.ai | linkedin.com/in/jason-c-rae | github.com/JSunRae</w:t>
      </w:r>
    </w:p>
    <w:p>
      <w:pPr>
        <w:pStyle w:val="Heading1"/>
        <w:spacing w:before="160" w:after="80"/>
      </w:pPr>
      <w:r>
        <w:rPr>
          <w:color w:val="0A192F"/>
        </w:rPr>
        <w:t>TARGET ROLE</w:t>
      </w:r>
    </w:p>
    <w:p>
      <w:pPr>
        <w:spacing w:after="100" w:line="259" w:lineRule="auto"/>
      </w:pPr>
      <w:r>
        <w:t>Head / Director of Analytics | Head / Director of Data &amp; Analytics | Head of Commercial Analytics | KPI Governance | Executive Decision Systems</w:t>
      </w:r>
    </w:p>
    <w:p>
      <w:pPr>
        <w:pStyle w:val="Heading1"/>
        <w:spacing w:before="160" w:after="80"/>
      </w:pPr>
      <w:r>
        <w:rPr>
          <w:color w:val="0A192F"/>
        </w:rPr>
        <w:t>EXECUTIVE PROFILE</w:t>
      </w:r>
    </w:p>
    <w:p>
      <w:pPr>
        <w:spacing w:after="100" w:line="259" w:lineRule="auto"/>
      </w:pPr>
      <w:r>
        <w:t>Commercial analytics and applied AI leader with 13+ years across commercial leadership and analytics, including pricing, forecasting, margin analysis, CRM governance, acquisition integration, and data transformation. Proven record of building trusted decision systems, correcting broken measurement logic, and translating fragmented data into executive-ready insights across Sales, Finance, BI, IT, and leadership teams. Combines strategic analytics ownership with hands-on delivery in Python, SQL, Power BI, machine learning, and governed LLM workflows. Most relevant where a business needs stronger KPI governance, analytics maturity, cross-functional operating rhythms, and practical AI-enabled decision support. Most relevant where a business needs stronger KPI governance, analytics maturity, cross-functional operating rhythms, and practical AI-enabled decision support.</w:t>
      </w:r>
    </w:p>
    <w:p>
      <w:pPr>
        <w:pStyle w:val="Heading1"/>
        <w:spacing w:before="160" w:after="80"/>
      </w:pPr>
      <w:r>
        <w:rPr>
          <w:color w:val="0A192F"/>
        </w:rPr>
        <w:t>ROLE ALIGNMENT</w:t>
      </w:r>
    </w:p>
    <w:tbl>
      <w:tblPr>
        <w:tblStyle w:val="TableGrid"/>
        <w:tblW w:type="auto" w:w="0"/>
        <w:tblLayout w:type="autofit"/>
        <w:tblLook w:firstColumn="1" w:firstRow="1" w:lastColumn="0" w:lastRow="0" w:noHBand="0" w:noVBand="1" w:val="04A0"/>
      </w:tblPr>
      <w:tblGrid>
        <w:gridCol w:w="5112"/>
        <w:gridCol w:w="5112"/>
      </w:tblGrid>
      <w:tr>
        <w:tc>
          <w:tcPr>
            <w:tcW w:type="dxa" w:w="5112"/>
            <w:shd w:fill="DCE6F1"/>
          </w:tcPr>
          <w:p>
            <w:r>
              <w:rPr>
                <w:b/>
                <w:color w:val="0A192F"/>
                <w:sz w:val="18"/>
              </w:rPr>
              <w:t>Alignment Area</w:t>
            </w:r>
          </w:p>
        </w:tc>
        <w:tc>
          <w:tcPr>
            <w:tcW w:type="dxa" w:w="5112"/>
            <w:shd w:fill="DCE6F1"/>
          </w:tcPr>
          <w:p>
            <w:r>
              <w:rPr>
                <w:b/>
                <w:color w:val="0A192F"/>
                <w:sz w:val="18"/>
              </w:rPr>
              <w:t>Evidence</w:t>
            </w:r>
          </w:p>
        </w:tc>
      </w:tr>
      <w:tr>
        <w:tc>
          <w:tcPr>
            <w:tcW w:type="dxa" w:w="2304"/>
          </w:tcPr>
          <w:p>
            <w:pPr>
              <w:spacing w:after="0" w:line="240" w:lineRule="auto"/>
            </w:pPr>
            <w:r>
              <w:rPr>
                <w:b/>
                <w:color w:val="0A192F"/>
                <w:sz w:val="18"/>
              </w:rPr>
              <w:t>Analytics strategy</w:t>
            </w:r>
          </w:p>
        </w:tc>
        <w:tc>
          <w:tcPr>
            <w:tcW w:type="dxa" w:w="8208"/>
          </w:tcPr>
          <w:p>
            <w:pPr>
              <w:spacing w:after="0" w:line="240" w:lineRule="auto"/>
            </w:pPr>
            <w:r>
              <w:rPr>
                <w:sz w:val="18"/>
              </w:rPr>
              <w:t>Own EMEA commercial analytics across pricing, forecasting, CRM analytics, incentives, and executive business reviews.</w:t>
            </w:r>
          </w:p>
        </w:tc>
      </w:tr>
      <w:tr>
        <w:tc>
          <w:tcPr>
            <w:tcW w:type="dxa" w:w="2304"/>
          </w:tcPr>
          <w:p>
            <w:pPr>
              <w:spacing w:after="0" w:line="240" w:lineRule="auto"/>
            </w:pPr>
            <w:r>
              <w:rPr>
                <w:b/>
                <w:color w:val="0A192F"/>
                <w:sz w:val="18"/>
              </w:rPr>
              <w:t>Governance</w:t>
            </w:r>
          </w:p>
        </w:tc>
        <w:tc>
          <w:tcPr>
            <w:tcW w:type="dxa" w:w="8208"/>
          </w:tcPr>
          <w:p>
            <w:pPr>
              <w:spacing w:after="0" w:line="240" w:lineRule="auto"/>
            </w:pPr>
            <w:r>
              <w:rPr>
                <w:sz w:val="18"/>
              </w:rPr>
              <w:t>Corrected 10+ years of FX and reporting methodology issues and rebuilt PVFX logic to restore trust in commercial decisions.</w:t>
            </w:r>
          </w:p>
        </w:tc>
      </w:tr>
      <w:tr>
        <w:tc>
          <w:tcPr>
            <w:tcW w:type="dxa" w:w="2304"/>
          </w:tcPr>
          <w:p>
            <w:pPr>
              <w:spacing w:after="0" w:line="240" w:lineRule="auto"/>
            </w:pPr>
            <w:r>
              <w:rPr>
                <w:b/>
                <w:color w:val="0A192F"/>
                <w:sz w:val="18"/>
              </w:rPr>
              <w:t>Executive reporting</w:t>
            </w:r>
          </w:p>
        </w:tc>
        <w:tc>
          <w:tcPr>
            <w:tcW w:type="dxa" w:w="8208"/>
          </w:tcPr>
          <w:p>
            <w:pPr>
              <w:spacing w:after="0" w:line="240" w:lineRule="auto"/>
            </w:pPr>
            <w:r>
              <w:rPr>
                <w:sz w:val="18"/>
              </w:rPr>
              <w:t>Translate complex commercial data into executive narratives linking revenue, margin, price, volume, mix, FX, and customer behavior.</w:t>
            </w:r>
          </w:p>
        </w:tc>
      </w:tr>
      <w:tr>
        <w:tc>
          <w:tcPr>
            <w:tcW w:type="dxa" w:w="2304"/>
          </w:tcPr>
          <w:p>
            <w:pPr>
              <w:spacing w:after="0" w:line="240" w:lineRule="auto"/>
            </w:pPr>
            <w:r>
              <w:rPr>
                <w:b/>
                <w:color w:val="0A192F"/>
                <w:sz w:val="18"/>
              </w:rPr>
              <w:t>AI-enabled analytics</w:t>
            </w:r>
          </w:p>
        </w:tc>
        <w:tc>
          <w:tcPr>
            <w:tcW w:type="dxa" w:w="8208"/>
          </w:tcPr>
          <w:p>
            <w:pPr>
              <w:spacing w:after="0" w:line="240" w:lineRule="auto"/>
            </w:pPr>
            <w:r>
              <w:rPr>
                <w:sz w:val="18"/>
              </w:rPr>
              <w:t>Build controlled workflows across Python, SQL, Power BI, ML, and LLM systems where they improve auditability and speed.</w:t>
            </w:r>
          </w:p>
        </w:tc>
      </w:tr>
      <w:tr>
        <w:tc>
          <w:tcPr>
            <w:tcW w:type="dxa" w:w="2304"/>
          </w:tcPr>
          <w:p>
            <w:pPr>
              <w:spacing w:after="0" w:line="240" w:lineRule="auto"/>
            </w:pPr>
            <w:r>
              <w:rPr>
                <w:b/>
                <w:color w:val="0A192F"/>
                <w:sz w:val="18"/>
              </w:rPr>
              <w:t>Cross-functional leadership</w:t>
            </w:r>
          </w:p>
        </w:tc>
        <w:tc>
          <w:tcPr>
            <w:tcW w:type="dxa" w:w="8208"/>
          </w:tcPr>
          <w:p>
            <w:pPr>
              <w:spacing w:after="0" w:line="240" w:lineRule="auto"/>
            </w:pPr>
            <w:r>
              <w:rPr>
                <w:sz w:val="18"/>
              </w:rPr>
              <w:t>Operate across Sales, Finance, BI, IT, and country teams, including customer-level integration across two acquisitions.</w:t>
            </w:r>
          </w:p>
        </w:tc>
      </w:tr>
    </w:tbl>
    <w:p>
      <w:pPr>
        <w:pStyle w:val="Heading1"/>
        <w:spacing w:before="160" w:after="80"/>
      </w:pPr>
      <w:r>
        <w:rPr>
          <w:color w:val="0A192F"/>
        </w:rPr>
        <w:t>PROFESSIONAL EXPERIENCE</w:t>
      </w:r>
    </w:p>
    <w:p>
      <w:pPr>
        <w:spacing w:before="100" w:after="20"/>
      </w:pPr>
      <w:r>
        <w:rPr>
          <w:b/>
          <w:color w:val="0A192F"/>
        </w:rPr>
        <w:t>Senior Data Analyst EMEA | Medline</w:t>
      </w:r>
      <w:r>
        <w:t xml:space="preserve"> | Stuttgart, Germany | Jan 2026 - Present</w:t>
      </w:r>
    </w:p>
    <w:p>
      <w:pPr>
        <w:spacing w:after="60" w:line="252" w:lineRule="auto"/>
        <w:ind w:left="259" w:hanging="259"/>
      </w:pPr>
      <w:r>
        <w:rPr>
          <w:sz w:val="20"/>
        </w:rPr>
        <w:t>• Own EMEA commercial analytics across gross margin walks, pricing intelligence, forecasting, CRM analytics, opportunity identification, incentives, and executive business reviews.</w:t>
      </w:r>
    </w:p>
    <w:p>
      <w:pPr>
        <w:spacing w:after="60" w:line="252" w:lineRule="auto"/>
        <w:ind w:left="259" w:hanging="259"/>
      </w:pPr>
      <w:r>
        <w:rPr>
          <w:sz w:val="20"/>
        </w:rPr>
        <w:t>• Build decision-ready workflows across Power BI, Python, SQL, machine learning, and controlled LLM systems where they improve auditability and speed.</w:t>
      </w:r>
    </w:p>
    <w:p>
      <w:pPr>
        <w:spacing w:after="60" w:line="252" w:lineRule="auto"/>
        <w:ind w:left="259" w:hanging="259"/>
      </w:pPr>
      <w:r>
        <w:rPr>
          <w:sz w:val="20"/>
        </w:rPr>
        <w:t>• Partner across Sales, Finance, BI, IT, and leadership to improve margin visibility, forecast quality, pricing interpretation, CRM trust, and decision speed.</w:t>
      </w:r>
    </w:p>
    <w:p>
      <w:pPr>
        <w:spacing w:after="60" w:line="252" w:lineRule="auto"/>
        <w:ind w:left="259" w:hanging="259"/>
      </w:pPr>
      <w:r>
        <w:rPr>
          <w:sz w:val="20"/>
        </w:rPr>
        <w:t>• Translate complex commercial data into executive narratives connecting revenue, margin, price, volume, mix, FX, and customer behavior.</w:t>
      </w:r>
    </w:p>
    <w:p>
      <w:pPr>
        <w:spacing w:after="60" w:line="252" w:lineRule="auto"/>
        <w:ind w:left="259" w:hanging="259"/>
      </w:pPr>
      <w:r>
        <w:rPr>
          <w:sz w:val="20"/>
        </w:rPr>
        <w:t>• Lead applied AI and analytics enablement by translating technical capability into practical commercial use cases, training approaches, and governance models.</w:t>
      </w:r>
    </w:p>
    <w:p>
      <w:pPr>
        <w:spacing w:before="100" w:after="20"/>
      </w:pPr>
      <w:r>
        <w:rPr>
          <w:b/>
          <w:color w:val="0A192F"/>
        </w:rPr>
        <w:t>Senior Data Analyst Europe | Medline</w:t>
      </w:r>
      <w:r>
        <w:t xml:space="preserve"> | Germany, Hybrid | Oct 2022 - Jan 2026</w:t>
      </w:r>
    </w:p>
    <w:p>
      <w:pPr>
        <w:spacing w:after="60" w:line="252" w:lineRule="auto"/>
        <w:ind w:left="259" w:hanging="259"/>
      </w:pPr>
      <w:r>
        <w:rPr>
          <w:sz w:val="20"/>
        </w:rPr>
        <w:t>• Delivered EUR 1.3M UK sales growth in 2023, approximately 4x above target, by combining commercial execution, analytics, and AI-enabled opportunity identification while reporting to the SVP Sales Europe.</w:t>
      </w:r>
    </w:p>
    <w:p>
      <w:pPr>
        <w:spacing w:after="60" w:line="252" w:lineRule="auto"/>
        <w:ind w:left="259" w:hanging="259"/>
      </w:pPr>
      <w:r>
        <w:rPr>
          <w:sz w:val="20"/>
        </w:rPr>
        <w:t>• Corrected 10+ years of FX methodology errors and rebuilt Price / Volume / FX decomposition logic with correct interaction effects.</w:t>
      </w:r>
    </w:p>
    <w:p>
      <w:pPr>
        <w:spacing w:after="60" w:line="252" w:lineRule="auto"/>
        <w:ind w:left="259" w:hanging="259"/>
      </w:pPr>
      <w:r>
        <w:rPr>
          <w:sz w:val="20"/>
        </w:rPr>
        <w:t>• Designed an enterprise-grade bonus payment system and led cross-functional problem solving across Sales, Finance, BI, and IT to improve trust in commercial performance data.</w:t>
      </w:r>
    </w:p>
    <w:p>
      <w:pPr>
        <w:spacing w:after="60" w:line="252" w:lineRule="auto"/>
        <w:ind w:left="259" w:hanging="259"/>
      </w:pPr>
      <w:r>
        <w:rPr>
          <w:sz w:val="20"/>
        </w:rPr>
        <w:t>• Led customer-level integration across two acquisitions, coordinating regional analysts and country teams to reconcile credits, refactor customer/account data, preserve continuity, and restore reliable territory measurement.</w:t>
      </w:r>
    </w:p>
    <w:p>
      <w:pPr>
        <w:spacing w:after="60" w:line="252" w:lineRule="auto"/>
        <w:ind w:left="259" w:hanging="259"/>
      </w:pPr>
      <w:r>
        <w:rPr>
          <w:sz w:val="20"/>
        </w:rPr>
        <w:t>• Led European contribution to a global applied AI initiative, building a training model to help teams adopt AI safely across real workflows.</w:t>
      </w:r>
    </w:p>
    <w:p>
      <w:pPr>
        <w:spacing w:before="100" w:after="20"/>
      </w:pPr>
      <w:r>
        <w:rPr>
          <w:b/>
          <w:color w:val="0A192F"/>
        </w:rPr>
        <w:t>Inside Sales Department Manager / BDM UK | Medline</w:t>
      </w:r>
      <w:r>
        <w:t xml:space="preserve"> | Warrington, UK | Oct 2020 - Sep 2022</w:t>
      </w:r>
    </w:p>
    <w:p>
      <w:pPr>
        <w:spacing w:after="60" w:line="252" w:lineRule="auto"/>
        <w:ind w:left="259" w:hanging="259"/>
      </w:pPr>
      <w:r>
        <w:rPr>
          <w:sz w:val="20"/>
        </w:rPr>
        <w:t>• Launched a new UK Inside Sales department and delivered EUR 3M sales growth against an initial target of approximately EUR 300k through data-driven segmentation, targeting, and execution.</w:t>
      </w:r>
    </w:p>
    <w:p>
      <w:pPr>
        <w:spacing w:after="60" w:line="252" w:lineRule="auto"/>
        <w:ind w:left="259" w:hanging="259"/>
      </w:pPr>
      <w:r>
        <w:rPr>
          <w:sz w:val="20"/>
        </w:rPr>
        <w:t>• Built analytics for customer segmentation, forecasting, market analysis, and backorder management to prioritize accounts and guide commercial strategy.</w:t>
      </w:r>
    </w:p>
    <w:p>
      <w:pPr>
        <w:spacing w:after="60" w:line="252" w:lineRule="auto"/>
        <w:ind w:left="259" w:hanging="259"/>
      </w:pPr>
      <w:r>
        <w:rPr>
          <w:sz w:val="20"/>
        </w:rPr>
        <w:t>• Identified 120 new distributors and secured 33 new accounts under pandemic and GDPR constraints.</w:t>
      </w:r>
    </w:p>
    <w:p>
      <w:pPr>
        <w:pStyle w:val="Heading1"/>
        <w:spacing w:before="160" w:after="80"/>
      </w:pPr>
      <w:r>
        <w:rPr>
          <w:color w:val="0A192F"/>
        </w:rPr>
        <w:t>EARLIER CAREER HIGHLIGHTS</w:t>
      </w:r>
    </w:p>
    <w:p>
      <w:pPr>
        <w:spacing w:after="60" w:line="252" w:lineRule="auto"/>
        <w:ind w:left="259" w:hanging="259"/>
      </w:pPr>
      <w:r>
        <w:rPr>
          <w:sz w:val="20"/>
        </w:rPr>
        <w:t>• Inside Sales Department Manager Australia: drove a 4% to 57% growth turnaround across 38 customer markets.</w:t>
      </w:r>
    </w:p>
    <w:p>
      <w:pPr>
        <w:spacing w:after="60" w:line="252" w:lineRule="auto"/>
        <w:ind w:left="259" w:hanging="259"/>
      </w:pPr>
      <w:r>
        <w:rPr>
          <w:sz w:val="20"/>
        </w:rPr>
        <w:t>• Account Manager Australia NSW and ACT: grew territory revenue from USD 1.4M to USD 4.2M and achieved 35% profitability.</w:t>
      </w:r>
    </w:p>
    <w:p>
      <w:pPr>
        <w:spacing w:after="60" w:line="252" w:lineRule="auto"/>
        <w:ind w:left="259" w:hanging="259"/>
      </w:pPr>
      <w:r>
        <w:rPr>
          <w:sz w:val="20"/>
        </w:rPr>
        <w:t>• Pilot, Royal Australian Air Force: developed disciplined systems thinking, rapid learning, and high-pressure decision-making.</w:t>
      </w:r>
    </w:p>
    <w:p>
      <w:pPr>
        <w:pStyle w:val="Heading1"/>
        <w:spacing w:before="160" w:after="80"/>
      </w:pPr>
      <w:r>
        <w:rPr>
          <w:color w:val="0A192F"/>
        </w:rPr>
        <w:t>EDUCATION</w:t>
      </w:r>
    </w:p>
    <w:p>
      <w:pPr>
        <w:spacing w:after="100" w:line="259" w:lineRule="auto"/>
      </w:pPr>
      <w:r>
        <w:t>Bachelor of Technology (Aviation), Australian Defence Force Academy (UNSW), 2008.</w:t>
      </w:r>
    </w:p>
    <w:p>
      <w:pPr>
        <w:pStyle w:val="Heading1"/>
        <w:spacing w:before="160" w:after="80"/>
      </w:pPr>
      <w:r>
        <w:rPr>
          <w:color w:val="0A192F"/>
        </w:rPr>
        <w:t>SELECTED CREDENTIALS</w:t>
      </w:r>
    </w:p>
    <w:p>
      <w:pPr>
        <w:spacing w:after="100" w:line="259" w:lineRule="auto"/>
      </w:pPr>
      <w:r>
        <w:t>Python | Machine Learning | Microsoft Excel | VBA | PSS Selling | The Challenger Sale</w:t>
      </w:r>
    </w:p>
    <w:p>
      <w:pPr>
        <w:pStyle w:val="Heading1"/>
        <w:spacing w:before="160" w:after="80"/>
      </w:pPr>
      <w:r>
        <w:rPr>
          <w:color w:val="0A192F"/>
        </w:rPr>
        <w:t>TECHNICAL AND OPERATING STACK</w:t>
      </w:r>
    </w:p>
    <w:p>
      <w:pPr>
        <w:spacing w:after="100" w:line="259" w:lineRule="auto"/>
      </w:pPr>
      <w:r>
        <w:t>Python | SQL | Power BI | Machine Learning | LLM Workflows | KPI Governance | Executive Reporting | CRM Analytics | Forecasting | Pricing | Margin Analysis | Data Quality | Cross-Functional Leadership</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232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92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192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A1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