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192F"/>
          <w:sz w:val="40"/>
        </w:rPr>
        <w:t>Jason Rae</w:t>
      </w:r>
    </w:p>
    <w:p>
      <w:pPr>
        <w:jc w:val="center"/>
      </w:pPr>
      <w:r>
        <w:rPr>
          <w:color w:val="5A5A5A"/>
          <w:sz w:val="22"/>
        </w:rPr>
        <w:t>Cover Letter | Head of AI (SaaS) | team.blue</w:t>
      </w:r>
    </w:p>
    <w:p>
      <w:pPr>
        <w:jc w:val="center"/>
      </w:pPr>
      <w:r>
        <w:rPr>
          <w:color w:val="5A5A5A"/>
          <w:sz w:val="18"/>
        </w:rPr>
        <w:t>Stuttgart, Germany | Jason_C_Rae@Outlook.com | jasonrae.ai | linkedin.com/in/jason-c-rae | github.com/JSunRae</w:t>
      </w:r>
    </w:p>
    <w:p>
      <w:pPr>
        <w:spacing w:before="160" w:after="40"/>
      </w:pPr>
      <w:r>
        <w:t>12 May 2026</w:t>
      </w:r>
    </w:p>
    <w:p>
      <w:pPr>
        <w:spacing w:after="160"/>
      </w:pPr>
      <w:r>
        <w:t>Hiring Team</w:t>
        <w:br/>
        <w:t>team.blue</w:t>
      </w:r>
    </w:p>
    <w:p>
      <w:pPr>
        <w:spacing w:after="160"/>
      </w:pPr>
      <w:r>
        <w:t>Dear Hiring Team,</w:t>
      </w:r>
    </w:p>
    <w:p>
      <w:pPr>
        <w:spacing w:after="100" w:line="259" w:lineRule="auto"/>
      </w:pPr>
      <w:r>
        <w:t>I am applying for the Head of AI (SaaS) role at team.blue because it sits in a space where I can add differentiated value: translating AI capability into practical, governed business use cases across multiple brands, stakeholders, and operating realities.</w:t>
      </w:r>
    </w:p>
    <w:p>
      <w:pPr>
        <w:spacing w:after="100" w:line="259" w:lineRule="auto"/>
      </w:pPr>
      <w:r>
        <w:t>I currently own EMEA commercial analytics at Medline across pricing, forecasting, margin, CRM analytics, incentives, and executive business reviews. My background is unusual in a useful way: I started in commercial leadership, then moved into senior analytics and applied AI work. That means I understand both the operating pressure behind growth, forecasting, and decision-quality calls and the workflow discipline needed to support them reliably.</w:t>
      </w:r>
    </w:p>
    <w:p>
      <w:pPr>
        <w:spacing w:after="100" w:line="259" w:lineRule="auto"/>
      </w:pPr>
      <w:r>
        <w:t>One of the strongest parts of my recent experience was leading European contribution to a global applied AI initiative, where the challenge was not only technical possibility but safe adoption, enablement, and business integration. That required translating AI capability into workflows people could actually use, creating training and governance paths, and working across commercial and technical stakeholders with different priorities and levels of confidence.</w:t>
      </w:r>
    </w:p>
    <w:p>
      <w:pPr>
        <w:spacing w:after="100" w:line="259" w:lineRule="auto"/>
      </w:pPr>
      <w:r>
        <w:t>The measurable outcomes matter. I delivered led European contribution to a global applied AI initiative with safer adoption and training paths, own EMEA commercial analytics across pricing, forecasting, margin, CRM, incentives, and executive business reviews, and have repeatedly operated across Sales, Finance, BI, IT, and leadership to improve the quality and speed of decisions. That cross-functional operating model is one of the clearest reasons I am relevant to this ai transformation / consulting opening.</w:t>
      </w:r>
    </w:p>
    <w:p>
      <w:pPr>
        <w:spacing w:after="100" w:line="259" w:lineRule="auto"/>
      </w:pPr>
      <w:r>
        <w:t>I would welcome the opportunity to discuss how I could help team.blue strengthen this capability with a practical, hands-on leadership style centered on measurable value creation.</w:t>
      </w:r>
    </w:p>
    <w:p>
      <w:pPr>
        <w:spacing w:before="160"/>
      </w:pPr>
      <w:r>
        <w:t>Kind regards,</w:t>
      </w:r>
    </w:p>
    <w:p>
      <w:r>
        <w:t>Jason Rae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232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A192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A192F"/>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A192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