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976"/>
      </w:tblGrid>
      <w:tr>
        <w:tc>
          <w:tcPr>
            <w:tcW w:type="dxa" w:w="10976"/>
            <w:shd w:fill="17365D"/>
            <w:tcMar>
              <w:top w:w="110" w:type="dxa"/>
              <w:bottom w:w="95" w:type="dxa"/>
              <w:start w:w="120" w:type="dxa"/>
              <w:end w:w="120" w:type="dxa"/>
            </w:tcMar>
            <w:tcBorders>
              <w:top w:val="single" w:sz="2" w:color="17365D"/>
              <w:left w:val="single" w:sz="2" w:color="17365D"/>
              <w:bottom w:val="single" w:sz="2" w:color="17365D"/>
              <w:right w:val="single" w:sz="2" w:color="17365D"/>
            </w:tcBorders>
          </w:tcPr>
          <w:p>
            <w:pPr>
              <w:spacing w:after="0" w:before="0" w:line="240" w:lineRule="auto"/>
              <w:jc w:val="center"/>
            </w:pPr>
            <w:r>
              <w:rPr>
                <w:rFonts w:ascii="Aptos" w:hAnsi="Aptos"/>
                <w:b/>
                <w:i w:val="0"/>
                <w:color w:val="FFFFFF"/>
                <w:sz w:val="40"/>
              </w:rPr>
              <w:t>JASON RAE</w:t>
            </w:r>
          </w:p>
          <w:p>
            <w:pPr>
              <w:spacing w:after="0" w:before="0" w:line="240" w:lineRule="auto"/>
              <w:jc w:val="center"/>
            </w:pPr>
            <w:r>
              <w:rPr>
                <w:rFonts w:ascii="Aptos" w:hAnsi="Aptos"/>
                <w:b/>
                <w:i w:val="0"/>
                <w:color w:val="FFFFFF"/>
                <w:sz w:val="18"/>
              </w:rPr>
              <w:t>Senior Data Analyst EMEA | Commercial Analytics Architect | Applied AI &amp; Decision Intelligence</w:t>
            </w:r>
          </w:p>
          <w:p>
            <w:pPr>
              <w:spacing w:after="0" w:before="0" w:line="240" w:lineRule="auto"/>
              <w:jc w:val="center"/>
            </w:pPr>
            <w:r>
              <w:rPr>
                <w:rFonts w:ascii="Aptos" w:hAnsi="Aptos"/>
                <w:b w:val="0"/>
                <w:i w:val="0"/>
                <w:color w:val="FFFFFF"/>
                <w:sz w:val="14"/>
              </w:rPr>
              <w:t>Stuttgart, Germany | jason@jasonrae.ai | jasonrae.ai | linkedin.com/in/jason-c-rae | github.com/JSunRae</w:t>
            </w:r>
          </w:p>
        </w:tc>
      </w:tr>
    </w:tbl>
    <w:p>
      <w:pPr>
        <w:spacing w:after="60" w:before="60" w:line="240" w:lineRule="auto"/>
        <w:jc w:val="center"/>
      </w:pPr>
      <w:r>
        <w:rPr>
          <w:rFonts w:ascii="Aptos" w:hAnsi="Aptos"/>
          <w:b/>
          <w:i w:val="0"/>
          <w:color w:val="17365D"/>
          <w:sz w:val="18"/>
        </w:rPr>
        <w:t>Commercial operator -&gt; analytics architect -&gt; applied AI leader</w:t>
      </w:r>
    </w:p>
    <w:tbl>
      <w:tblPr>
        <w:tblW w:type="auto" w:w="0"/>
        <w:jc w:val="center"/>
        <w:tblLook w:firstColumn="1" w:firstRow="1" w:lastColumn="0" w:lastRow="0" w:noHBand="0" w:noVBand="1" w:val="04A0"/>
      </w:tblPr>
      <w:tblGrid>
        <w:gridCol w:w="10976"/>
      </w:tblGrid>
      <w:tr>
        <w:tc>
          <w:tcPr>
            <w:tcW w:type="dxa" w:w="10976"/>
            <w:shd w:fill="F6F8FA"/>
            <w:tcBorders>
              <w:top w:val="single" w:sz="2" w:color="D7E3EC"/>
              <w:left w:val="single" w:sz="2" w:color="D7E3EC"/>
              <w:bottom w:val="single" w:sz="2" w:color="D7E3EC"/>
              <w:right w:val="single" w:sz="2" w:color="D7E3EC"/>
            </w:tcBorders>
            <w:tcMar>
              <w:top w:w="52" w:type="dxa"/>
              <w:bottom w:w="52" w:type="dxa"/>
              <w:start w:w="80" w:type="dxa"/>
              <w:end w:w="80" w:type="dxa"/>
            </w:tcMar>
          </w:tcPr>
          <w:p>
            <w:pPr>
              <w:spacing w:after="0" w:before="0" w:line="240" w:lineRule="auto"/>
              <w:jc w:val="center"/>
            </w:pPr>
            <w:r>
              <w:rPr>
                <w:rFonts w:ascii="Aptos" w:hAnsi="Aptos"/>
                <w:b/>
                <w:i w:val="0"/>
                <w:color w:val="17365D"/>
                <w:sz w:val="16"/>
              </w:rPr>
              <w:t xml:space="preserve">TARGET ROLE ALIGNMENT: </w:t>
            </w:r>
            <w:r>
              <w:rPr>
                <w:rFonts w:ascii="Aptos" w:hAnsi="Aptos"/>
                <w:b w:val="0"/>
                <w:i w:val="0"/>
                <w:color w:val="1F2933"/>
                <w:sz w:val="16"/>
              </w:rPr>
              <w:t>Director of Data Analytics | Head of Commercial Analytics | BI &amp; AI Transformation Lead | Applied AI / Decision Intelligence</w:t>
            </w:r>
          </w:p>
        </w:tc>
      </w:tr>
    </w:tbl>
    <w:p>
      <w:pPr>
        <w:spacing w:after="40" w:before="100" w:line="228" w:lineRule="auto"/>
        <w:pBdr>
          <w:bottom w:val="single" w:sz="4" w:space="1" w:color="2F75B5"/>
        </w:pBdr>
      </w:pPr>
      <w:r>
        <w:rPr>
          <w:rFonts w:ascii="Aptos" w:hAnsi="Aptos"/>
          <w:b/>
          <w:i w:val="0"/>
          <w:color w:val="2F75B5"/>
          <w:sz w:val="17"/>
        </w:rPr>
        <w:t>EXECUTIVE PROFILE</w:t>
      </w:r>
    </w:p>
    <w:p>
      <w:pPr>
        <w:spacing w:after="40" w:before="0" w:line="230" w:lineRule="auto"/>
      </w:pPr>
      <w:r>
        <w:rPr>
          <w:rFonts w:ascii="Aptos" w:hAnsi="Aptos"/>
          <w:b w:val="0"/>
          <w:i w:val="0"/>
          <w:color w:val="1F2933"/>
          <w:sz w:val="16"/>
        </w:rPr>
        <w:t>Commercial analytics and applied AI leader with 13+ years across sales leadership, EMEA analytics, pricing, forecasting, margin analysis, CRM governance, BI modernization and data transformation. Known for turning fragmented commercial data and inconsistent logic into trusted decision systems for Sales, Finance, BI, IT and executive stakeholders. Combines director-level commercial judgment with hands-on delivery in Power BI, Python, SQL, machine learning and LLM workflows.</w:t>
      </w:r>
    </w:p>
    <w:tbl>
      <w:tblPr>
        <w:tblW w:type="auto" w:w="0"/>
        <w:jc w:val="center"/>
        <w:tblLook w:firstColumn="1" w:firstRow="1" w:lastColumn="0" w:lastRow="0" w:noHBand="0" w:noVBand="1" w:val="04A0"/>
      </w:tblPr>
      <w:tblGrid>
        <w:gridCol w:w="1829"/>
        <w:gridCol w:w="1829"/>
        <w:gridCol w:w="1829"/>
        <w:gridCol w:w="1829"/>
        <w:gridCol w:w="1829"/>
        <w:gridCol w:w="1829"/>
      </w:tblGrid>
      <w:tr>
        <w:tc>
          <w:tcPr>
            <w:tcW w:type="dxa" w:w="1829"/>
            <w:shd w:fill="F6F8FA"/>
            <w:tcBorders>
              <w:top w:val="single" w:sz="2" w:color="D7E3EC"/>
              <w:left w:val="single" w:sz="2" w:color="D7E3EC"/>
              <w:bottom w:val="single" w:sz="2" w:color="D7E3EC"/>
              <w:right w:val="single" w:sz="2" w:color="D7E3EC"/>
            </w:tcBorders>
            <w:tcMar>
              <w:top w:w="45" w:type="dxa"/>
              <w:bottom w:w="45" w:type="dxa"/>
              <w:start w:w="25" w:type="dxa"/>
              <w:end w:w="25" w:type="dxa"/>
            </w:tcMar>
          </w:tcPr>
          <w:p>
            <w:pPr>
              <w:spacing w:after="0" w:before="0" w:line="240" w:lineRule="auto"/>
              <w:jc w:val="center"/>
            </w:pPr>
            <w:r>
              <w:rPr>
                <w:rFonts w:ascii="Aptos" w:hAnsi="Aptos"/>
                <w:b/>
                <w:i w:val="0"/>
                <w:color w:val="17365D"/>
                <w:sz w:val="16"/>
              </w:rPr>
              <w:t>13+ yrs</w:t>
            </w:r>
          </w:p>
          <w:p>
            <w:pPr>
              <w:spacing w:after="0" w:before="0" w:line="240" w:lineRule="auto"/>
              <w:jc w:val="center"/>
            </w:pPr>
            <w:r>
              <w:rPr>
                <w:rFonts w:ascii="Aptos" w:hAnsi="Aptos"/>
                <w:b w:val="0"/>
                <w:i w:val="0"/>
                <w:color w:val="5C6670"/>
                <w:sz w:val="11"/>
              </w:rPr>
              <w:t>commercial + analytics</w:t>
            </w:r>
          </w:p>
        </w:tc>
        <w:tc>
          <w:tcPr>
            <w:tcW w:type="dxa" w:w="1829"/>
            <w:shd w:fill="EAF3F8"/>
            <w:tcBorders>
              <w:top w:val="single" w:sz="2" w:color="D7E3EC"/>
              <w:left w:val="single" w:sz="2" w:color="D7E3EC"/>
              <w:bottom w:val="single" w:sz="2" w:color="D7E3EC"/>
              <w:right w:val="single" w:sz="2" w:color="D7E3EC"/>
            </w:tcBorders>
            <w:tcMar>
              <w:top w:w="45" w:type="dxa"/>
              <w:bottom w:w="45" w:type="dxa"/>
              <w:start w:w="25" w:type="dxa"/>
              <w:end w:w="25" w:type="dxa"/>
            </w:tcMar>
          </w:tcPr>
          <w:p>
            <w:pPr>
              <w:spacing w:after="0" w:before="0" w:line="240" w:lineRule="auto"/>
              <w:jc w:val="center"/>
            </w:pPr>
            <w:r>
              <w:rPr>
                <w:rFonts w:ascii="Aptos" w:hAnsi="Aptos"/>
                <w:b/>
                <w:i w:val="0"/>
                <w:color w:val="17365D"/>
                <w:sz w:val="16"/>
              </w:rPr>
              <w:t>€3M</w:t>
            </w:r>
          </w:p>
          <w:p>
            <w:pPr>
              <w:spacing w:after="0" w:before="0" w:line="240" w:lineRule="auto"/>
              <w:jc w:val="center"/>
            </w:pPr>
            <w:r>
              <w:rPr>
                <w:rFonts w:ascii="Aptos" w:hAnsi="Aptos"/>
                <w:b w:val="0"/>
                <w:i w:val="0"/>
                <w:color w:val="5C6670"/>
                <w:sz w:val="11"/>
              </w:rPr>
              <w:t>growth vs €300k target</w:t>
            </w:r>
          </w:p>
        </w:tc>
        <w:tc>
          <w:tcPr>
            <w:tcW w:type="dxa" w:w="1829"/>
            <w:shd w:fill="F6F8FA"/>
            <w:tcBorders>
              <w:top w:val="single" w:sz="2" w:color="D7E3EC"/>
              <w:left w:val="single" w:sz="2" w:color="D7E3EC"/>
              <w:bottom w:val="single" w:sz="2" w:color="D7E3EC"/>
              <w:right w:val="single" w:sz="2" w:color="D7E3EC"/>
            </w:tcBorders>
            <w:tcMar>
              <w:top w:w="45" w:type="dxa"/>
              <w:bottom w:w="45" w:type="dxa"/>
              <w:start w:w="25" w:type="dxa"/>
              <w:end w:w="25" w:type="dxa"/>
            </w:tcMar>
          </w:tcPr>
          <w:p>
            <w:pPr>
              <w:spacing w:after="0" w:before="0" w:line="240" w:lineRule="auto"/>
              <w:jc w:val="center"/>
            </w:pPr>
            <w:r>
              <w:rPr>
                <w:rFonts w:ascii="Aptos" w:hAnsi="Aptos"/>
                <w:b/>
                <w:i w:val="0"/>
                <w:color w:val="17365D"/>
                <w:sz w:val="16"/>
              </w:rPr>
              <w:t>€1.3M</w:t>
            </w:r>
          </w:p>
          <w:p>
            <w:pPr>
              <w:spacing w:after="0" w:before="0" w:line="240" w:lineRule="auto"/>
              <w:jc w:val="center"/>
            </w:pPr>
            <w:r>
              <w:rPr>
                <w:rFonts w:ascii="Aptos" w:hAnsi="Aptos"/>
                <w:b w:val="0"/>
                <w:i w:val="0"/>
                <w:color w:val="5C6670"/>
                <w:sz w:val="11"/>
              </w:rPr>
              <w:t>2023 growth, ~4x target</w:t>
            </w:r>
          </w:p>
        </w:tc>
        <w:tc>
          <w:tcPr>
            <w:tcW w:type="dxa" w:w="1829"/>
            <w:shd w:fill="EAF3F8"/>
            <w:tcBorders>
              <w:top w:val="single" w:sz="2" w:color="D7E3EC"/>
              <w:left w:val="single" w:sz="2" w:color="D7E3EC"/>
              <w:bottom w:val="single" w:sz="2" w:color="D7E3EC"/>
              <w:right w:val="single" w:sz="2" w:color="D7E3EC"/>
            </w:tcBorders>
            <w:tcMar>
              <w:top w:w="45" w:type="dxa"/>
              <w:bottom w:w="45" w:type="dxa"/>
              <w:start w:w="25" w:type="dxa"/>
              <w:end w:w="25" w:type="dxa"/>
            </w:tcMar>
          </w:tcPr>
          <w:p>
            <w:pPr>
              <w:spacing w:after="0" w:before="0" w:line="240" w:lineRule="auto"/>
              <w:jc w:val="center"/>
            </w:pPr>
            <w:r>
              <w:rPr>
                <w:rFonts w:ascii="Aptos" w:hAnsi="Aptos"/>
                <w:b/>
                <w:i w:val="0"/>
                <w:color w:val="17365D"/>
                <w:sz w:val="16"/>
              </w:rPr>
              <w:t>4% -&gt; 57%</w:t>
            </w:r>
          </w:p>
          <w:p>
            <w:pPr>
              <w:spacing w:after="0" w:before="0" w:line="240" w:lineRule="auto"/>
              <w:jc w:val="center"/>
            </w:pPr>
            <w:r>
              <w:rPr>
                <w:rFonts w:ascii="Aptos" w:hAnsi="Aptos"/>
                <w:b w:val="0"/>
                <w:i w:val="0"/>
                <w:color w:val="5C6670"/>
                <w:sz w:val="11"/>
              </w:rPr>
              <w:t>turnaround</w:t>
            </w:r>
          </w:p>
        </w:tc>
        <w:tc>
          <w:tcPr>
            <w:tcW w:type="dxa" w:w="1829"/>
            <w:shd w:fill="F6F8FA"/>
            <w:tcBorders>
              <w:top w:val="single" w:sz="2" w:color="D7E3EC"/>
              <w:left w:val="single" w:sz="2" w:color="D7E3EC"/>
              <w:bottom w:val="single" w:sz="2" w:color="D7E3EC"/>
              <w:right w:val="single" w:sz="2" w:color="D7E3EC"/>
            </w:tcBorders>
            <w:tcMar>
              <w:top w:w="45" w:type="dxa"/>
              <w:bottom w:w="45" w:type="dxa"/>
              <w:start w:w="25" w:type="dxa"/>
              <w:end w:w="25" w:type="dxa"/>
            </w:tcMar>
          </w:tcPr>
          <w:p>
            <w:pPr>
              <w:spacing w:after="0" w:before="0" w:line="240" w:lineRule="auto"/>
              <w:jc w:val="center"/>
            </w:pPr>
            <w:r>
              <w:rPr>
                <w:rFonts w:ascii="Aptos" w:hAnsi="Aptos"/>
                <w:b/>
                <w:i w:val="0"/>
                <w:color w:val="17365D"/>
                <w:sz w:val="16"/>
              </w:rPr>
              <w:t>$1.4M -&gt; $4.2M</w:t>
            </w:r>
          </w:p>
          <w:p>
            <w:pPr>
              <w:spacing w:after="0" w:before="0" w:line="240" w:lineRule="auto"/>
              <w:jc w:val="center"/>
            </w:pPr>
            <w:r>
              <w:rPr>
                <w:rFonts w:ascii="Aptos" w:hAnsi="Aptos"/>
                <w:b w:val="0"/>
                <w:i w:val="0"/>
                <w:color w:val="5C6670"/>
                <w:sz w:val="11"/>
              </w:rPr>
              <w:t>territory growth</w:t>
            </w:r>
          </w:p>
        </w:tc>
        <w:tc>
          <w:tcPr>
            <w:tcW w:type="dxa" w:w="1829"/>
            <w:shd w:fill="EAF3F8"/>
            <w:tcBorders>
              <w:top w:val="single" w:sz="2" w:color="D7E3EC"/>
              <w:left w:val="single" w:sz="2" w:color="D7E3EC"/>
              <w:bottom w:val="single" w:sz="2" w:color="D7E3EC"/>
              <w:right w:val="single" w:sz="2" w:color="D7E3EC"/>
            </w:tcBorders>
            <w:tcMar>
              <w:top w:w="45" w:type="dxa"/>
              <w:bottom w:w="45" w:type="dxa"/>
              <w:start w:w="25" w:type="dxa"/>
              <w:end w:w="25" w:type="dxa"/>
            </w:tcMar>
          </w:tcPr>
          <w:p>
            <w:pPr>
              <w:spacing w:after="0" w:before="0" w:line="240" w:lineRule="auto"/>
              <w:jc w:val="center"/>
            </w:pPr>
            <w:r>
              <w:rPr>
                <w:rFonts w:ascii="Aptos" w:hAnsi="Aptos"/>
                <w:b/>
                <w:i w:val="0"/>
                <w:color w:val="17365D"/>
                <w:sz w:val="16"/>
              </w:rPr>
              <w:t>10+ yrs</w:t>
            </w:r>
          </w:p>
          <w:p>
            <w:pPr>
              <w:spacing w:after="0" w:before="0" w:line="240" w:lineRule="auto"/>
              <w:jc w:val="center"/>
            </w:pPr>
            <w:r>
              <w:rPr>
                <w:rFonts w:ascii="Aptos" w:hAnsi="Aptos"/>
                <w:b w:val="0"/>
                <w:i w:val="0"/>
                <w:color w:val="5C6670"/>
                <w:sz w:val="11"/>
              </w:rPr>
              <w:t>FX logic corrected</w:t>
            </w:r>
          </w:p>
        </w:tc>
      </w:tr>
    </w:tbl>
    <w:p>
      <w:pPr>
        <w:spacing w:after="40" w:before="100" w:line="228" w:lineRule="auto"/>
        <w:pBdr>
          <w:bottom w:val="single" w:sz="4" w:space="1" w:color="2F75B5"/>
        </w:pBdr>
      </w:pPr>
      <w:r>
        <w:rPr>
          <w:rFonts w:ascii="Aptos" w:hAnsi="Aptos"/>
          <w:b/>
          <w:i w:val="0"/>
          <w:color w:val="2F75B5"/>
          <w:sz w:val="17"/>
        </w:rPr>
        <w:t>AI / ATS CAPABILITY ARCHITECTURE</w:t>
      </w:r>
    </w:p>
    <w:tbl>
      <w:tblPr>
        <w:tblW w:type="auto" w:w="0"/>
        <w:jc w:val="center"/>
        <w:tblLook w:firstColumn="1" w:firstRow="1" w:lastColumn="0" w:lastRow="0" w:noHBand="0" w:noVBand="1" w:val="04A0"/>
      </w:tblPr>
      <w:tblGrid>
        <w:gridCol w:w="5488"/>
        <w:gridCol w:w="5488"/>
      </w:tblGrid>
      <w:tr>
        <w:tc>
          <w:tcPr>
            <w:tcW w:type="dxa" w:w="5488"/>
            <w:tcBorders>
              <w:top w:val="single" w:sz="2" w:color="FFFFFF"/>
              <w:left w:val="single" w:sz="2" w:color="FFFFFF"/>
              <w:bottom w:val="single" w:sz="2" w:color="FFFFFF"/>
              <w:right w:val="single" w:sz="2" w:color="FFFFFF"/>
            </w:tcBorders>
            <w:vAlign w:val="top"/>
            <w:tcMar>
              <w:top w:w="12" w:type="dxa"/>
              <w:bottom w:w="12" w:type="dxa"/>
              <w:start w:w="0" w:type="dxa"/>
              <w:end w:w="40" w:type="dxa"/>
            </w:tcMar>
          </w:tcPr>
          <w:p>
            <w:pPr>
              <w:spacing w:after="0" w:before="0" w:line="240" w:lineRule="auto"/>
            </w:pPr>
            <w:r>
              <w:rPr>
                <w:rFonts w:ascii="Aptos" w:hAnsi="Aptos"/>
                <w:b/>
                <w:i w:val="0"/>
                <w:color w:val="17365D"/>
                <w:sz w:val="15"/>
              </w:rPr>
              <w:t xml:space="preserve">Commercial Analytics: </w:t>
            </w:r>
            <w:r>
              <w:rPr>
                <w:rFonts w:ascii="Aptos" w:hAnsi="Aptos"/>
                <w:b w:val="0"/>
                <w:i w:val="0"/>
                <w:color w:val="1F2933"/>
                <w:sz w:val="14"/>
              </w:rPr>
              <w:t>forecasting | pricing intelligence | gross margin walks | CRM analytics | incentives | sales analytics</w:t>
            </w:r>
          </w:p>
        </w:tc>
        <w:tc>
          <w:tcPr>
            <w:tcW w:type="dxa" w:w="5488"/>
            <w:tcBorders>
              <w:top w:val="single" w:sz="2" w:color="FFFFFF"/>
              <w:left w:val="single" w:sz="2" w:color="FFFFFF"/>
              <w:bottom w:val="single" w:sz="2" w:color="FFFFFF"/>
              <w:right w:val="single" w:sz="2" w:color="FFFFFF"/>
            </w:tcBorders>
            <w:vAlign w:val="top"/>
            <w:tcMar>
              <w:top w:w="12" w:type="dxa"/>
              <w:bottom w:w="12" w:type="dxa"/>
              <w:start w:w="0" w:type="dxa"/>
              <w:end w:w="40" w:type="dxa"/>
            </w:tcMar>
          </w:tcPr>
          <w:p>
            <w:pPr>
              <w:spacing w:after="0" w:before="0" w:line="240" w:lineRule="auto"/>
            </w:pPr>
            <w:r>
              <w:rPr>
                <w:rFonts w:ascii="Aptos" w:hAnsi="Aptos"/>
                <w:b/>
                <w:i w:val="0"/>
                <w:color w:val="17365D"/>
                <w:sz w:val="15"/>
              </w:rPr>
              <w:t xml:space="preserve">BI &amp; Data Leadership: </w:t>
            </w:r>
            <w:r>
              <w:rPr>
                <w:rFonts w:ascii="Aptos" w:hAnsi="Aptos"/>
                <w:b w:val="0"/>
                <w:i w:val="0"/>
                <w:color w:val="1F2933"/>
                <w:sz w:val="14"/>
              </w:rPr>
              <w:t>Power BI | KPI governance | data modeling | executive reporting | semantic models | data quality</w:t>
            </w:r>
          </w:p>
        </w:tc>
      </w:tr>
      <w:tr>
        <w:tc>
          <w:tcPr>
            <w:tcW w:type="dxa" w:w="5488"/>
            <w:tcBorders>
              <w:top w:val="single" w:sz="2" w:color="FFFFFF"/>
              <w:left w:val="single" w:sz="2" w:color="FFFFFF"/>
              <w:bottom w:val="single" w:sz="2" w:color="FFFFFF"/>
              <w:right w:val="single" w:sz="2" w:color="FFFFFF"/>
            </w:tcBorders>
            <w:vAlign w:val="top"/>
            <w:tcMar>
              <w:top w:w="12" w:type="dxa"/>
              <w:bottom w:w="12" w:type="dxa"/>
              <w:start w:w="0" w:type="dxa"/>
              <w:end w:w="40" w:type="dxa"/>
            </w:tcMar>
          </w:tcPr>
          <w:p>
            <w:pPr>
              <w:spacing w:after="0" w:before="0" w:line="240" w:lineRule="auto"/>
            </w:pPr>
            <w:r>
              <w:rPr>
                <w:rFonts w:ascii="Aptos" w:hAnsi="Aptos"/>
                <w:b/>
                <w:i w:val="0"/>
                <w:color w:val="17365D"/>
                <w:sz w:val="15"/>
              </w:rPr>
              <w:t xml:space="preserve">Applied AI Delivery: </w:t>
            </w:r>
            <w:r>
              <w:rPr>
                <w:rFonts w:ascii="Aptos" w:hAnsi="Aptos"/>
                <w:b w:val="0"/>
                <w:i w:val="0"/>
                <w:color w:val="1F2933"/>
                <w:sz w:val="14"/>
              </w:rPr>
              <w:t>Python | SQL | machine learning | LLM workflows | semantic search | validation gates | automation</w:t>
            </w:r>
          </w:p>
        </w:tc>
        <w:tc>
          <w:tcPr>
            <w:tcW w:type="dxa" w:w="5488"/>
            <w:tcBorders>
              <w:top w:val="single" w:sz="2" w:color="FFFFFF"/>
              <w:left w:val="single" w:sz="2" w:color="FFFFFF"/>
              <w:bottom w:val="single" w:sz="2" w:color="FFFFFF"/>
              <w:right w:val="single" w:sz="2" w:color="FFFFFF"/>
            </w:tcBorders>
            <w:vAlign w:val="top"/>
            <w:tcMar>
              <w:top w:w="12" w:type="dxa"/>
              <w:bottom w:w="12" w:type="dxa"/>
              <w:start w:w="0" w:type="dxa"/>
              <w:end w:w="40" w:type="dxa"/>
            </w:tcMar>
          </w:tcPr>
          <w:p>
            <w:pPr>
              <w:spacing w:after="0" w:before="0" w:line="240" w:lineRule="auto"/>
            </w:pPr>
            <w:r>
              <w:rPr>
                <w:rFonts w:ascii="Aptos" w:hAnsi="Aptos"/>
                <w:b/>
                <w:i w:val="0"/>
                <w:color w:val="17365D"/>
                <w:sz w:val="15"/>
              </w:rPr>
              <w:t xml:space="preserve">Operating Model: </w:t>
            </w:r>
            <w:r>
              <w:rPr>
                <w:rFonts w:ascii="Aptos" w:hAnsi="Aptos"/>
                <w:b w:val="0"/>
                <w:i w:val="0"/>
                <w:color w:val="1F2933"/>
                <w:sz w:val="14"/>
              </w:rPr>
              <w:t>stakeholder management | training | cross-functional governance | change leadership | business reviews</w:t>
            </w:r>
          </w:p>
        </w:tc>
      </w:tr>
    </w:tbl>
    <w:p>
      <w:pPr>
        <w:spacing w:after="40" w:before="100" w:line="228" w:lineRule="auto"/>
        <w:pBdr>
          <w:bottom w:val="single" w:sz="4" w:space="1" w:color="2F75B5"/>
        </w:pBdr>
      </w:pPr>
      <w:r>
        <w:rPr>
          <w:rFonts w:ascii="Aptos" w:hAnsi="Aptos"/>
          <w:b/>
          <w:i w:val="0"/>
          <w:color w:val="2F75B5"/>
          <w:sz w:val="17"/>
        </w:rPr>
        <w:t>PROFESSIONAL EXPERIENCE</w:t>
      </w:r>
    </w:p>
    <w:tbl>
      <w:tblPr>
        <w:tblW w:type="auto" w:w="0"/>
        <w:jc w:val="center"/>
        <w:tblLook w:firstColumn="1" w:firstRow="1" w:lastColumn="0" w:lastRow="0" w:noHBand="0" w:noVBand="1" w:val="04A0"/>
      </w:tblPr>
      <w:tblGrid>
        <w:gridCol w:w="6912"/>
        <w:gridCol w:w="2477"/>
      </w:tblGrid>
      <w:tr>
        <w:tc>
          <w:tcPr>
            <w:tcW w:type="dxa" w:w="5488"/>
            <w:tcBorders>
              <w:top w:val="single" w:sz="2" w:color="FFFFFF"/>
              <w:left w:val="single" w:sz="2" w:color="FFFFFF"/>
              <w:bottom w:val="single" w:sz="2" w:color="FFFFFF"/>
              <w:right w:val="single" w:sz="2" w:color="FFFFFF"/>
            </w:tcBorders>
            <w:vAlign w:val="top"/>
            <w:tcMar>
              <w:top w:w="25" w:type="dxa"/>
              <w:bottom w:w="0" w:type="dxa"/>
              <w:start w:w="0" w:type="dxa"/>
              <w:end w:w="20" w:type="dxa"/>
            </w:tcMar>
          </w:tcPr>
          <w:p>
            <w:pPr>
              <w:spacing w:after="0" w:before="0" w:line="240" w:lineRule="auto"/>
            </w:pPr>
            <w:r>
              <w:rPr>
                <w:rFonts w:ascii="Aptos" w:hAnsi="Aptos"/>
                <w:b/>
                <w:i w:val="0"/>
                <w:color w:val="17365D"/>
                <w:sz w:val="17"/>
              </w:rPr>
              <w:t>Senior Data Analyst EMEA</w:t>
            </w:r>
          </w:p>
        </w:tc>
        <w:tc>
          <w:tcPr>
            <w:tcW w:type="dxa" w:w="5488"/>
            <w:tcBorders>
              <w:top w:val="single" w:sz="2" w:color="FFFFFF"/>
              <w:left w:val="single" w:sz="2" w:color="FFFFFF"/>
              <w:bottom w:val="single" w:sz="2" w:color="FFFFFF"/>
              <w:right w:val="single" w:sz="2" w:color="FFFFFF"/>
            </w:tcBorders>
            <w:vAlign w:val="top"/>
            <w:tcMar>
              <w:top w:w="25" w:type="dxa"/>
              <w:bottom w:w="0" w:type="dxa"/>
              <w:start w:w="20" w:type="dxa"/>
              <w:end w:w="0" w:type="dxa"/>
            </w:tcMar>
          </w:tcPr>
          <w:p>
            <w:pPr>
              <w:spacing w:after="0" w:before="0" w:line="240" w:lineRule="auto"/>
              <w:jc w:val="right"/>
            </w:pPr>
            <w:r>
              <w:rPr>
                <w:rFonts w:ascii="Aptos" w:hAnsi="Aptos"/>
                <w:b/>
                <w:i w:val="0"/>
                <w:color w:val="5C6670"/>
                <w:sz w:val="14"/>
              </w:rPr>
              <w:t>Jan 2026 - Present</w:t>
            </w:r>
          </w:p>
        </w:tc>
      </w:tr>
    </w:tbl>
    <w:p>
      <w:pPr>
        <w:spacing w:after="10" w:before="0" w:line="216" w:lineRule="auto"/>
      </w:pPr>
      <w:r>
        <w:rPr>
          <w:rFonts w:ascii="Aptos" w:hAnsi="Aptos"/>
          <w:b w:val="0"/>
          <w:i/>
          <w:color w:val="5C6670"/>
          <w:sz w:val="15"/>
        </w:rPr>
        <w:t>Medline | Stuttgart, Germany</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Own EMEA commercial analytics across gross margin walks, pricing intelligence, forecasting, CRM analytics, opportunity identification and executive business reviews.</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Build Power BI, Python, SQL, machine learning and LLM workflows that convert fragmented commercial data into auditable, decision-ready outputs.</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Partner with Sales, Finance, BI, IT and leadership teams to improve margin visibility, forecast quality, pricing interpretation and commercial decision speed.</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Translate complex commercial data into executive narratives connecting revenue, margin, price, volume, mix, FX and customer behavior.</w:t>
      </w:r>
    </w:p>
    <w:tbl>
      <w:tblPr>
        <w:tblW w:type="auto" w:w="0"/>
        <w:jc w:val="center"/>
        <w:tblLook w:firstColumn="1" w:firstRow="1" w:lastColumn="0" w:lastRow="0" w:noHBand="0" w:noVBand="1" w:val="04A0"/>
      </w:tblPr>
      <w:tblGrid>
        <w:gridCol w:w="6912"/>
        <w:gridCol w:w="2477"/>
      </w:tblGrid>
      <w:tr>
        <w:tc>
          <w:tcPr>
            <w:tcW w:type="dxa" w:w="5488"/>
            <w:tcBorders>
              <w:top w:val="single" w:sz="2" w:color="FFFFFF"/>
              <w:left w:val="single" w:sz="2" w:color="FFFFFF"/>
              <w:bottom w:val="single" w:sz="2" w:color="FFFFFF"/>
              <w:right w:val="single" w:sz="2" w:color="FFFFFF"/>
            </w:tcBorders>
            <w:vAlign w:val="top"/>
            <w:tcMar>
              <w:top w:w="25" w:type="dxa"/>
              <w:bottom w:w="0" w:type="dxa"/>
              <w:start w:w="0" w:type="dxa"/>
              <w:end w:w="20" w:type="dxa"/>
            </w:tcMar>
          </w:tcPr>
          <w:p>
            <w:pPr>
              <w:spacing w:after="0" w:before="0" w:line="240" w:lineRule="auto"/>
            </w:pPr>
            <w:r>
              <w:rPr>
                <w:rFonts w:ascii="Aptos" w:hAnsi="Aptos"/>
                <w:b/>
                <w:i w:val="0"/>
                <w:color w:val="17365D"/>
                <w:sz w:val="17"/>
              </w:rPr>
              <w:t>Senior Data Analyst Europe</w:t>
            </w:r>
          </w:p>
        </w:tc>
        <w:tc>
          <w:tcPr>
            <w:tcW w:type="dxa" w:w="5488"/>
            <w:tcBorders>
              <w:top w:val="single" w:sz="2" w:color="FFFFFF"/>
              <w:left w:val="single" w:sz="2" w:color="FFFFFF"/>
              <w:bottom w:val="single" w:sz="2" w:color="FFFFFF"/>
              <w:right w:val="single" w:sz="2" w:color="FFFFFF"/>
            </w:tcBorders>
            <w:vAlign w:val="top"/>
            <w:tcMar>
              <w:top w:w="25" w:type="dxa"/>
              <w:bottom w:w="0" w:type="dxa"/>
              <w:start w:w="20" w:type="dxa"/>
              <w:end w:w="0" w:type="dxa"/>
            </w:tcMar>
          </w:tcPr>
          <w:p>
            <w:pPr>
              <w:spacing w:after="0" w:before="0" w:line="240" w:lineRule="auto"/>
              <w:jc w:val="right"/>
            </w:pPr>
            <w:r>
              <w:rPr>
                <w:rFonts w:ascii="Aptos" w:hAnsi="Aptos"/>
                <w:b/>
                <w:i w:val="0"/>
                <w:color w:val="5C6670"/>
                <w:sz w:val="14"/>
              </w:rPr>
              <w:t>Oct 2022 - Jan 2026</w:t>
            </w:r>
          </w:p>
        </w:tc>
      </w:tr>
    </w:tbl>
    <w:p>
      <w:pPr>
        <w:spacing w:after="10" w:before="0" w:line="216" w:lineRule="auto"/>
      </w:pPr>
      <w:r>
        <w:rPr>
          <w:rFonts w:ascii="Aptos" w:hAnsi="Aptos"/>
          <w:b w:val="0"/>
          <w:i/>
          <w:color w:val="5C6670"/>
          <w:sz w:val="15"/>
        </w:rPr>
        <w:t>Medline | Germany | Hybrid</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Delivered €1.3M UK sales growth in 2023, approximately 4x above target, by combining commercial execution, analytics and AI-enabled opportunity identification while reporting to the SVP Sales Europe.</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Built Europe's contribution to a global AI initiative, designing a training model to develop AI consultants who bridge departments, translate needs and accelerate adoption.</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Corrected 10+ years of FX methodology errors and rebuilt Price / Volume / FX decomposition logic with correct interaction effects.</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Designed an enterprise-grade bonus payment system and led cross-functional problem solving across Sales, Finance, BI and IT to improve trust in commercial performance data.</w:t>
      </w:r>
    </w:p>
    <w:tbl>
      <w:tblPr>
        <w:tblW w:type="auto" w:w="0"/>
        <w:jc w:val="center"/>
        <w:tblLook w:firstColumn="1" w:firstRow="1" w:lastColumn="0" w:lastRow="0" w:noHBand="0" w:noVBand="1" w:val="04A0"/>
      </w:tblPr>
      <w:tblGrid>
        <w:gridCol w:w="6912"/>
        <w:gridCol w:w="2477"/>
      </w:tblGrid>
      <w:tr>
        <w:tc>
          <w:tcPr>
            <w:tcW w:type="dxa" w:w="5488"/>
            <w:tcBorders>
              <w:top w:val="single" w:sz="2" w:color="FFFFFF"/>
              <w:left w:val="single" w:sz="2" w:color="FFFFFF"/>
              <w:bottom w:val="single" w:sz="2" w:color="FFFFFF"/>
              <w:right w:val="single" w:sz="2" w:color="FFFFFF"/>
            </w:tcBorders>
            <w:vAlign w:val="top"/>
            <w:tcMar>
              <w:top w:w="25" w:type="dxa"/>
              <w:bottom w:w="0" w:type="dxa"/>
              <w:start w:w="0" w:type="dxa"/>
              <w:end w:w="20" w:type="dxa"/>
            </w:tcMar>
          </w:tcPr>
          <w:p>
            <w:pPr>
              <w:spacing w:after="0" w:before="0" w:line="240" w:lineRule="auto"/>
            </w:pPr>
            <w:r>
              <w:rPr>
                <w:rFonts w:ascii="Aptos" w:hAnsi="Aptos"/>
                <w:b/>
                <w:i w:val="0"/>
                <w:color w:val="17365D"/>
                <w:sz w:val="17"/>
              </w:rPr>
              <w:t>Inside Sales Department Manager / BDM UK</w:t>
            </w:r>
          </w:p>
        </w:tc>
        <w:tc>
          <w:tcPr>
            <w:tcW w:type="dxa" w:w="5488"/>
            <w:tcBorders>
              <w:top w:val="single" w:sz="2" w:color="FFFFFF"/>
              <w:left w:val="single" w:sz="2" w:color="FFFFFF"/>
              <w:bottom w:val="single" w:sz="2" w:color="FFFFFF"/>
              <w:right w:val="single" w:sz="2" w:color="FFFFFF"/>
            </w:tcBorders>
            <w:vAlign w:val="top"/>
            <w:tcMar>
              <w:top w:w="25" w:type="dxa"/>
              <w:bottom w:w="0" w:type="dxa"/>
              <w:start w:w="20" w:type="dxa"/>
              <w:end w:w="0" w:type="dxa"/>
            </w:tcMar>
          </w:tcPr>
          <w:p>
            <w:pPr>
              <w:spacing w:after="0" w:before="0" w:line="240" w:lineRule="auto"/>
              <w:jc w:val="right"/>
            </w:pPr>
            <w:r>
              <w:rPr>
                <w:rFonts w:ascii="Aptos" w:hAnsi="Aptos"/>
                <w:b/>
                <w:i w:val="0"/>
                <w:color w:val="5C6670"/>
                <w:sz w:val="14"/>
              </w:rPr>
              <w:t>Oct 2020 - Sep 2022</w:t>
            </w:r>
          </w:p>
        </w:tc>
      </w:tr>
    </w:tbl>
    <w:p>
      <w:pPr>
        <w:spacing w:after="10" w:before="0" w:line="216" w:lineRule="auto"/>
      </w:pPr>
      <w:r>
        <w:rPr>
          <w:rFonts w:ascii="Aptos" w:hAnsi="Aptos"/>
          <w:b w:val="0"/>
          <w:i/>
          <w:color w:val="5C6670"/>
          <w:sz w:val="15"/>
        </w:rPr>
        <w:t>Medline | Warrington, UK</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Launched a new UK Inside Sales department and delivered €3M sales growth versus an initial target of approximately €300k through data-driven segmentation, targeting and execution.</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Built segmentation, market analysis, forecasting and backorder analytics to prioritize accounts, identify opportunities and guide sales strategy.</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Identified 120 new distributors and secured 33 new accounts under pandemic and GDPR constraints.</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Corrected costing discrepancies that led to double-digit cost-basis improvement and more accurate pricing decisions.</w:t>
      </w:r>
    </w:p>
    <w:tbl>
      <w:tblPr>
        <w:tblW w:type="auto" w:w="0"/>
        <w:jc w:val="center"/>
        <w:tblLook w:firstColumn="1" w:firstRow="1" w:lastColumn="0" w:lastRow="0" w:noHBand="0" w:noVBand="1" w:val="04A0"/>
      </w:tblPr>
      <w:tblGrid>
        <w:gridCol w:w="6912"/>
        <w:gridCol w:w="2477"/>
      </w:tblGrid>
      <w:tr>
        <w:tc>
          <w:tcPr>
            <w:tcW w:type="dxa" w:w="5488"/>
            <w:tcBorders>
              <w:top w:val="single" w:sz="2" w:color="FFFFFF"/>
              <w:left w:val="single" w:sz="2" w:color="FFFFFF"/>
              <w:bottom w:val="single" w:sz="2" w:color="FFFFFF"/>
              <w:right w:val="single" w:sz="2" w:color="FFFFFF"/>
            </w:tcBorders>
            <w:vAlign w:val="top"/>
            <w:tcMar>
              <w:top w:w="25" w:type="dxa"/>
              <w:bottom w:w="0" w:type="dxa"/>
              <w:start w:w="0" w:type="dxa"/>
              <w:end w:w="20" w:type="dxa"/>
            </w:tcMar>
          </w:tcPr>
          <w:p>
            <w:pPr>
              <w:spacing w:after="0" w:before="0" w:line="240" w:lineRule="auto"/>
            </w:pPr>
            <w:r>
              <w:rPr>
                <w:rFonts w:ascii="Aptos" w:hAnsi="Aptos"/>
                <w:b/>
                <w:i w:val="0"/>
                <w:color w:val="17365D"/>
                <w:sz w:val="17"/>
              </w:rPr>
              <w:t>Inside Sales Department Manager Australia</w:t>
            </w:r>
          </w:p>
        </w:tc>
        <w:tc>
          <w:tcPr>
            <w:tcW w:type="dxa" w:w="5488"/>
            <w:tcBorders>
              <w:top w:val="single" w:sz="2" w:color="FFFFFF"/>
              <w:left w:val="single" w:sz="2" w:color="FFFFFF"/>
              <w:bottom w:val="single" w:sz="2" w:color="FFFFFF"/>
              <w:right w:val="single" w:sz="2" w:color="FFFFFF"/>
            </w:tcBorders>
            <w:vAlign w:val="top"/>
            <w:tcMar>
              <w:top w:w="25" w:type="dxa"/>
              <w:bottom w:w="0" w:type="dxa"/>
              <w:start w:w="20" w:type="dxa"/>
              <w:end w:w="0" w:type="dxa"/>
            </w:tcMar>
          </w:tcPr>
          <w:p>
            <w:pPr>
              <w:spacing w:after="0" w:before="0" w:line="240" w:lineRule="auto"/>
              <w:jc w:val="right"/>
            </w:pPr>
            <w:r>
              <w:rPr>
                <w:rFonts w:ascii="Aptos" w:hAnsi="Aptos"/>
                <w:b/>
                <w:i w:val="0"/>
                <w:color w:val="5C6670"/>
                <w:sz w:val="14"/>
              </w:rPr>
              <w:t>Nov 2016 - Sep 2020</w:t>
            </w:r>
          </w:p>
        </w:tc>
      </w:tr>
    </w:tbl>
    <w:p>
      <w:pPr>
        <w:spacing w:after="10" w:before="0" w:line="216" w:lineRule="auto"/>
      </w:pPr>
      <w:r>
        <w:rPr>
          <w:rFonts w:ascii="Aptos" w:hAnsi="Aptos"/>
          <w:b w:val="0"/>
          <w:i/>
          <w:color w:val="5C6670"/>
          <w:sz w:val="15"/>
        </w:rPr>
        <w:t>Medline | Kings Park, Australia</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Led a full operational turnaround of the Inside Sales division across 38 customer markets, increasing growth from 4% to 57%.</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Architected a Customer Management System combining customer segmentation, workflow automation, sales reporting and structured data management.</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Built scalable reporting frameworks that improved account visibility, customer prioritization, pipeline discipline and commercial accountability.</w:t>
      </w:r>
    </w:p>
    <w:p>
      <w:r>
        <w:br w:type="page"/>
      </w:r>
    </w:p>
    <w:p>
      <w:pPr>
        <w:spacing w:after="60" w:before="0" w:line="240" w:lineRule="auto"/>
        <w:jc w:val="center"/>
      </w:pPr>
      <w:r>
        <w:rPr>
          <w:rFonts w:ascii="Aptos" w:hAnsi="Aptos"/>
          <w:b/>
          <w:i w:val="0"/>
          <w:color w:val="17365D"/>
          <w:sz w:val="17"/>
        </w:rPr>
        <w:t>Jason Rae | Director of Data Analytics / Commercial Analytics / Applied AI</w:t>
      </w:r>
    </w:p>
    <w:p>
      <w:pPr>
        <w:spacing w:after="40" w:before="100" w:line="228" w:lineRule="auto"/>
        <w:pBdr>
          <w:bottom w:val="single" w:sz="4" w:space="1" w:color="2F75B5"/>
        </w:pBdr>
      </w:pPr>
      <w:r>
        <w:rPr>
          <w:rFonts w:ascii="Aptos" w:hAnsi="Aptos"/>
          <w:b/>
          <w:i w:val="0"/>
          <w:color w:val="2F75B5"/>
          <w:sz w:val="17"/>
        </w:rPr>
        <w:t>PROFESSIONAL EXPERIENCE CONTINUED</w:t>
      </w:r>
    </w:p>
    <w:tbl>
      <w:tblPr>
        <w:tblW w:type="auto" w:w="0"/>
        <w:jc w:val="center"/>
        <w:tblLook w:firstColumn="1" w:firstRow="1" w:lastColumn="0" w:lastRow="0" w:noHBand="0" w:noVBand="1" w:val="04A0"/>
      </w:tblPr>
      <w:tblGrid>
        <w:gridCol w:w="6912"/>
        <w:gridCol w:w="2477"/>
      </w:tblGrid>
      <w:tr>
        <w:tc>
          <w:tcPr>
            <w:tcW w:type="dxa" w:w="5488"/>
            <w:tcBorders>
              <w:top w:val="single" w:sz="2" w:color="FFFFFF"/>
              <w:left w:val="single" w:sz="2" w:color="FFFFFF"/>
              <w:bottom w:val="single" w:sz="2" w:color="FFFFFF"/>
              <w:right w:val="single" w:sz="2" w:color="FFFFFF"/>
            </w:tcBorders>
            <w:vAlign w:val="top"/>
            <w:tcMar>
              <w:top w:w="25" w:type="dxa"/>
              <w:bottom w:w="0" w:type="dxa"/>
              <w:start w:w="0" w:type="dxa"/>
              <w:end w:w="20" w:type="dxa"/>
            </w:tcMar>
          </w:tcPr>
          <w:p>
            <w:pPr>
              <w:spacing w:after="0" w:before="0" w:line="240" w:lineRule="auto"/>
            </w:pPr>
            <w:r>
              <w:rPr>
                <w:rFonts w:ascii="Aptos" w:hAnsi="Aptos"/>
                <w:b/>
                <w:i w:val="0"/>
                <w:color w:val="17365D"/>
                <w:sz w:val="17"/>
              </w:rPr>
              <w:t>Account Manager Australia NSW and ACT</w:t>
            </w:r>
          </w:p>
        </w:tc>
        <w:tc>
          <w:tcPr>
            <w:tcW w:type="dxa" w:w="5488"/>
            <w:tcBorders>
              <w:top w:val="single" w:sz="2" w:color="FFFFFF"/>
              <w:left w:val="single" w:sz="2" w:color="FFFFFF"/>
              <w:bottom w:val="single" w:sz="2" w:color="FFFFFF"/>
              <w:right w:val="single" w:sz="2" w:color="FFFFFF"/>
            </w:tcBorders>
            <w:vAlign w:val="top"/>
            <w:tcMar>
              <w:top w:w="25" w:type="dxa"/>
              <w:bottom w:w="0" w:type="dxa"/>
              <w:start w:w="20" w:type="dxa"/>
              <w:end w:w="0" w:type="dxa"/>
            </w:tcMar>
          </w:tcPr>
          <w:p>
            <w:pPr>
              <w:spacing w:after="0" w:before="0" w:line="240" w:lineRule="auto"/>
              <w:jc w:val="right"/>
            </w:pPr>
            <w:r>
              <w:rPr>
                <w:rFonts w:ascii="Aptos" w:hAnsi="Aptos"/>
                <w:b/>
                <w:i w:val="0"/>
                <w:color w:val="5C6670"/>
                <w:sz w:val="14"/>
              </w:rPr>
              <w:t>Jul 2014 - Oct 2016</w:t>
            </w:r>
          </w:p>
        </w:tc>
      </w:tr>
    </w:tbl>
    <w:p>
      <w:pPr>
        <w:spacing w:after="10" w:before="0" w:line="216" w:lineRule="auto"/>
      </w:pPr>
      <w:r>
        <w:rPr>
          <w:rFonts w:ascii="Aptos" w:hAnsi="Aptos"/>
          <w:b w:val="0"/>
          <w:i/>
          <w:color w:val="5C6670"/>
          <w:sz w:val="15"/>
        </w:rPr>
        <w:t>Medline | Canberra, Australia</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Grew territory revenue from $1.4M to $4.2M in two years while achieving 35% profitability, the highest territory profitability in Australia.</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Used account analysis, customer segmentation, pricing discipline and opportunity prioritization to drive profitable growth across NSW and ACT.</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Recognized as Account Manager of the Year and earned two STAR Award trips for exceptional performance.</w:t>
      </w:r>
    </w:p>
    <w:tbl>
      <w:tblPr>
        <w:tblW w:type="auto" w:w="0"/>
        <w:jc w:val="center"/>
        <w:tblLook w:firstColumn="1" w:firstRow="1" w:lastColumn="0" w:lastRow="0" w:noHBand="0" w:noVBand="1" w:val="04A0"/>
      </w:tblPr>
      <w:tblGrid>
        <w:gridCol w:w="6912"/>
        <w:gridCol w:w="2477"/>
      </w:tblGrid>
      <w:tr>
        <w:tc>
          <w:tcPr>
            <w:tcW w:type="dxa" w:w="5488"/>
            <w:tcBorders>
              <w:top w:val="single" w:sz="2" w:color="FFFFFF"/>
              <w:left w:val="single" w:sz="2" w:color="FFFFFF"/>
              <w:bottom w:val="single" w:sz="2" w:color="FFFFFF"/>
              <w:right w:val="single" w:sz="2" w:color="FFFFFF"/>
            </w:tcBorders>
            <w:vAlign w:val="top"/>
            <w:tcMar>
              <w:top w:w="25" w:type="dxa"/>
              <w:bottom w:w="0" w:type="dxa"/>
              <w:start w:w="0" w:type="dxa"/>
              <w:end w:w="20" w:type="dxa"/>
            </w:tcMar>
          </w:tcPr>
          <w:p>
            <w:pPr>
              <w:spacing w:after="0" w:before="0" w:line="240" w:lineRule="auto"/>
            </w:pPr>
            <w:r>
              <w:rPr>
                <w:rFonts w:ascii="Aptos" w:hAnsi="Aptos"/>
                <w:b/>
                <w:i w:val="0"/>
                <w:color w:val="17365D"/>
                <w:sz w:val="17"/>
              </w:rPr>
              <w:t>Inside Sales Establishment / Manager Australia</w:t>
            </w:r>
          </w:p>
        </w:tc>
        <w:tc>
          <w:tcPr>
            <w:tcW w:type="dxa" w:w="5488"/>
            <w:tcBorders>
              <w:top w:val="single" w:sz="2" w:color="FFFFFF"/>
              <w:left w:val="single" w:sz="2" w:color="FFFFFF"/>
              <w:bottom w:val="single" w:sz="2" w:color="FFFFFF"/>
              <w:right w:val="single" w:sz="2" w:color="FFFFFF"/>
            </w:tcBorders>
            <w:vAlign w:val="top"/>
            <w:tcMar>
              <w:top w:w="25" w:type="dxa"/>
              <w:bottom w:w="0" w:type="dxa"/>
              <w:start w:w="20" w:type="dxa"/>
              <w:end w:w="0" w:type="dxa"/>
            </w:tcMar>
          </w:tcPr>
          <w:p>
            <w:pPr>
              <w:spacing w:after="0" w:before="0" w:line="240" w:lineRule="auto"/>
              <w:jc w:val="right"/>
            </w:pPr>
            <w:r>
              <w:rPr>
                <w:rFonts w:ascii="Aptos" w:hAnsi="Aptos"/>
                <w:b/>
                <w:i w:val="0"/>
                <w:color w:val="5C6670"/>
                <w:sz w:val="14"/>
              </w:rPr>
              <w:t>May 2012 - Jun 2014</w:t>
            </w:r>
          </w:p>
        </w:tc>
      </w:tr>
    </w:tbl>
    <w:p>
      <w:pPr>
        <w:spacing w:after="10" w:before="0" w:line="216" w:lineRule="auto"/>
      </w:pPr>
      <w:r>
        <w:rPr>
          <w:rFonts w:ascii="Aptos" w:hAnsi="Aptos"/>
          <w:b w:val="0"/>
          <w:i/>
          <w:color w:val="5C6670"/>
          <w:sz w:val="15"/>
        </w:rPr>
        <w:t>Medline | Greater Sydney Area</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Pioneered the Inside Sales function for Australia, using customer analysis and market segmentation to identify growth opportunities and guide commercial strategy.</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Built early reporting, pipeline tracking and performance-management processes to improve visibility for leadership.</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Trained team members to adopt metrics-driven sales processes and structured customer management practices.</w:t>
      </w:r>
    </w:p>
    <w:tbl>
      <w:tblPr>
        <w:tblW w:type="auto" w:w="0"/>
        <w:jc w:val="center"/>
        <w:tblLook w:firstColumn="1" w:firstRow="1" w:lastColumn="0" w:lastRow="0" w:noHBand="0" w:noVBand="1" w:val="04A0"/>
      </w:tblPr>
      <w:tblGrid>
        <w:gridCol w:w="6912"/>
        <w:gridCol w:w="2477"/>
      </w:tblGrid>
      <w:tr>
        <w:tc>
          <w:tcPr>
            <w:tcW w:type="dxa" w:w="5488"/>
            <w:tcBorders>
              <w:top w:val="single" w:sz="2" w:color="FFFFFF"/>
              <w:left w:val="single" w:sz="2" w:color="FFFFFF"/>
              <w:bottom w:val="single" w:sz="2" w:color="FFFFFF"/>
              <w:right w:val="single" w:sz="2" w:color="FFFFFF"/>
            </w:tcBorders>
            <w:vAlign w:val="top"/>
            <w:tcMar>
              <w:top w:w="25" w:type="dxa"/>
              <w:bottom w:w="0" w:type="dxa"/>
              <w:start w:w="0" w:type="dxa"/>
              <w:end w:w="20" w:type="dxa"/>
            </w:tcMar>
          </w:tcPr>
          <w:p>
            <w:pPr>
              <w:spacing w:after="0" w:before="0" w:line="240" w:lineRule="auto"/>
            </w:pPr>
            <w:r>
              <w:rPr>
                <w:rFonts w:ascii="Aptos" w:hAnsi="Aptos"/>
                <w:b/>
                <w:i w:val="0"/>
                <w:color w:val="17365D"/>
                <w:sz w:val="17"/>
              </w:rPr>
              <w:t>Sales Coordinator</w:t>
            </w:r>
          </w:p>
        </w:tc>
        <w:tc>
          <w:tcPr>
            <w:tcW w:type="dxa" w:w="5488"/>
            <w:tcBorders>
              <w:top w:val="single" w:sz="2" w:color="FFFFFF"/>
              <w:left w:val="single" w:sz="2" w:color="FFFFFF"/>
              <w:bottom w:val="single" w:sz="2" w:color="FFFFFF"/>
              <w:right w:val="single" w:sz="2" w:color="FFFFFF"/>
            </w:tcBorders>
            <w:vAlign w:val="top"/>
            <w:tcMar>
              <w:top w:w="25" w:type="dxa"/>
              <w:bottom w:w="0" w:type="dxa"/>
              <w:start w:w="20" w:type="dxa"/>
              <w:end w:w="0" w:type="dxa"/>
            </w:tcMar>
          </w:tcPr>
          <w:p>
            <w:pPr>
              <w:spacing w:after="0" w:before="0" w:line="240" w:lineRule="auto"/>
              <w:jc w:val="right"/>
            </w:pPr>
            <w:r>
              <w:rPr>
                <w:rFonts w:ascii="Aptos" w:hAnsi="Aptos"/>
                <w:b/>
                <w:i w:val="0"/>
                <w:color w:val="5C6670"/>
                <w:sz w:val="14"/>
              </w:rPr>
              <w:t>Dec 2010 - May 2012</w:t>
            </w:r>
          </w:p>
        </w:tc>
      </w:tr>
    </w:tbl>
    <w:p>
      <w:pPr>
        <w:spacing w:after="10" w:before="0" w:line="216" w:lineRule="auto"/>
      </w:pPr>
      <w:r>
        <w:rPr>
          <w:rFonts w:ascii="Aptos" w:hAnsi="Aptos"/>
          <w:b w:val="0"/>
          <w:i/>
          <w:color w:val="5C6670"/>
          <w:sz w:val="15"/>
        </w:rPr>
        <w:t>Belgravia Leisure | Greater Sydney Area</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Developed membership structures, sales reporting and campaign processes for the launch and operation of a new $20M Aquatic Centre.</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Used customer and campaign data to support targeted promotions, membership acquisition, retention activity and reporting discipline.</w:t>
      </w:r>
    </w:p>
    <w:tbl>
      <w:tblPr>
        <w:tblW w:type="auto" w:w="0"/>
        <w:jc w:val="center"/>
        <w:tblLook w:firstColumn="1" w:firstRow="1" w:lastColumn="0" w:lastRow="0" w:noHBand="0" w:noVBand="1" w:val="04A0"/>
      </w:tblPr>
      <w:tblGrid>
        <w:gridCol w:w="6912"/>
        <w:gridCol w:w="2477"/>
      </w:tblGrid>
      <w:tr>
        <w:tc>
          <w:tcPr>
            <w:tcW w:type="dxa" w:w="5488"/>
            <w:tcBorders>
              <w:top w:val="single" w:sz="2" w:color="FFFFFF"/>
              <w:left w:val="single" w:sz="2" w:color="FFFFFF"/>
              <w:bottom w:val="single" w:sz="2" w:color="FFFFFF"/>
              <w:right w:val="single" w:sz="2" w:color="FFFFFF"/>
            </w:tcBorders>
            <w:vAlign w:val="top"/>
            <w:tcMar>
              <w:top w:w="25" w:type="dxa"/>
              <w:bottom w:w="0" w:type="dxa"/>
              <w:start w:w="0" w:type="dxa"/>
              <w:end w:w="20" w:type="dxa"/>
            </w:tcMar>
          </w:tcPr>
          <w:p>
            <w:pPr>
              <w:spacing w:after="0" w:before="0" w:line="240" w:lineRule="auto"/>
            </w:pPr>
            <w:r>
              <w:rPr>
                <w:rFonts w:ascii="Aptos" w:hAnsi="Aptos"/>
                <w:b/>
                <w:i w:val="0"/>
                <w:color w:val="17365D"/>
                <w:sz w:val="17"/>
              </w:rPr>
              <w:t>Pilot</w:t>
            </w:r>
          </w:p>
        </w:tc>
        <w:tc>
          <w:tcPr>
            <w:tcW w:type="dxa" w:w="5488"/>
            <w:tcBorders>
              <w:top w:val="single" w:sz="2" w:color="FFFFFF"/>
              <w:left w:val="single" w:sz="2" w:color="FFFFFF"/>
              <w:bottom w:val="single" w:sz="2" w:color="FFFFFF"/>
              <w:right w:val="single" w:sz="2" w:color="FFFFFF"/>
            </w:tcBorders>
            <w:vAlign w:val="top"/>
            <w:tcMar>
              <w:top w:w="25" w:type="dxa"/>
              <w:bottom w:w="0" w:type="dxa"/>
              <w:start w:w="20" w:type="dxa"/>
              <w:end w:w="0" w:type="dxa"/>
            </w:tcMar>
          </w:tcPr>
          <w:p>
            <w:pPr>
              <w:spacing w:after="0" w:before="0" w:line="240" w:lineRule="auto"/>
              <w:jc w:val="right"/>
            </w:pPr>
            <w:r>
              <w:rPr>
                <w:rFonts w:ascii="Aptos" w:hAnsi="Aptos"/>
                <w:b/>
                <w:i w:val="0"/>
                <w:color w:val="5C6670"/>
                <w:sz w:val="14"/>
              </w:rPr>
              <w:t>Jan 2005 - Sep 2008</w:t>
            </w:r>
          </w:p>
        </w:tc>
      </w:tr>
    </w:tbl>
    <w:p>
      <w:pPr>
        <w:spacing w:after="10" w:before="0" w:line="216" w:lineRule="auto"/>
      </w:pPr>
      <w:r>
        <w:rPr>
          <w:rFonts w:ascii="Aptos" w:hAnsi="Aptos"/>
          <w:b w:val="0"/>
          <w:i/>
          <w:color w:val="5C6670"/>
          <w:sz w:val="15"/>
        </w:rPr>
        <w:t>Royal Australian Air Force | New South Wales, Australia</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Completed military pilot training in a high-performance environment requiring discipline, rapid learning, procedural accuracy and decision-making under pressure.</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Developed systems thinking through aviation training, instrument interpretation, risk management and operational planning.</w:t>
      </w:r>
    </w:p>
    <w:p>
      <w:pPr>
        <w:spacing w:after="40" w:before="100" w:line="228" w:lineRule="auto"/>
        <w:pBdr>
          <w:bottom w:val="single" w:sz="4" w:space="1" w:color="2F75B5"/>
        </w:pBdr>
      </w:pPr>
      <w:r>
        <w:rPr>
          <w:rFonts w:ascii="Aptos" w:hAnsi="Aptos"/>
          <w:b/>
          <w:i w:val="0"/>
          <w:color w:val="2F75B5"/>
          <w:sz w:val="17"/>
        </w:rPr>
        <w:t>SELECTED AI &amp; TECHNICAL PROOF OF WORK</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ML research and governance platform: TensorFlow research system with experiment tracking, data-quality controls, candidate evaluation, rule-based promotion gates and controlled execution-path testing.</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Document intelligence workflow: LLM-assisted retrieval and writing pipeline using semantic search, controlled patching, validation rules and DOCX export.</w:t>
      </w:r>
    </w:p>
    <w:p>
      <w:pPr>
        <w:spacing w:after="11" w:before="0" w:line="226" w:lineRule="auto"/>
        <w:ind w:left="187" w:hanging="187"/>
      </w:pPr>
      <w:r>
        <w:rPr>
          <w:rFonts w:ascii="Aptos" w:hAnsi="Aptos"/>
          <w:b/>
          <w:i w:val="0"/>
          <w:color w:val="2F75B5"/>
          <w:sz w:val="15"/>
        </w:rPr>
        <w:t xml:space="preserve">• </w:t>
      </w:r>
      <w:r>
        <w:rPr>
          <w:rFonts w:ascii="Aptos" w:hAnsi="Aptos"/>
          <w:b w:val="0"/>
          <w:i w:val="0"/>
          <w:color w:val="1F2933"/>
          <w:sz w:val="15"/>
        </w:rPr>
        <w:t>AI workflow orchestration and SaaS automation: Python-based agent coordination, task/status scoring, cost tracking, policy-monitoring automation, authentication, payments and end-to-end testing.</w:t>
      </w:r>
    </w:p>
    <w:p>
      <w:pPr>
        <w:spacing w:after="40" w:before="100" w:line="228" w:lineRule="auto"/>
        <w:pBdr>
          <w:bottom w:val="single" w:sz="4" w:space="1" w:color="2F75B5"/>
        </w:pBdr>
      </w:pPr>
      <w:r>
        <w:rPr>
          <w:rFonts w:ascii="Aptos" w:hAnsi="Aptos"/>
          <w:b/>
          <w:i w:val="0"/>
          <w:color w:val="2F75B5"/>
          <w:sz w:val="17"/>
        </w:rPr>
        <w:t>EDUCATION &amp; CREDENTIALS</w:t>
      </w:r>
    </w:p>
    <w:tbl>
      <w:tblPr>
        <w:tblW w:type="auto" w:w="0"/>
        <w:jc w:val="center"/>
        <w:tblLook w:firstColumn="1" w:firstRow="1" w:lastColumn="0" w:lastRow="0" w:noHBand="0" w:noVBand="1" w:val="04A0"/>
      </w:tblPr>
      <w:tblGrid>
        <w:gridCol w:w="5488"/>
        <w:gridCol w:w="5488"/>
      </w:tblGrid>
      <w:tr>
        <w:tc>
          <w:tcPr>
            <w:tcW w:type="dxa" w:w="5488"/>
            <w:tcBorders>
              <w:top w:val="single" w:sz="2" w:color="FFFFFF"/>
              <w:left w:val="single" w:sz="2" w:color="FFFFFF"/>
              <w:bottom w:val="single" w:sz="2" w:color="FFFFFF"/>
              <w:right w:val="single" w:sz="2" w:color="FFFFFF"/>
            </w:tcBorders>
            <w:vAlign w:val="top"/>
            <w:tcMar>
              <w:top w:w="20" w:type="dxa"/>
              <w:bottom w:w="20" w:type="dxa"/>
              <w:start w:w="0" w:type="dxa"/>
              <w:end w:w="60" w:type="dxa"/>
            </w:tcMar>
          </w:tcPr>
          <w:p>
            <w:pPr>
              <w:spacing w:after="0" w:before="0" w:line="240" w:lineRule="auto"/>
            </w:pPr>
            <w:r>
              <w:rPr>
                <w:rFonts w:ascii="Aptos" w:hAnsi="Aptos"/>
                <w:b/>
                <w:i w:val="0"/>
                <w:color w:val="17365D"/>
                <w:sz w:val="15"/>
              </w:rPr>
              <w:t>Bachelor of Technology (Aviation)</w:t>
            </w:r>
            <w:r>
              <w:rPr>
                <w:rFonts w:ascii="Aptos" w:hAnsi="Aptos"/>
                <w:b w:val="0"/>
                <w:i w:val="0"/>
                <w:color w:val="1F2933"/>
                <w:sz w:val="14"/>
              </w:rPr>
              <w:br/>
              <w:t>Australian Defence Force Academy (UNSW), 2008</w:t>
              <w:br/>
              <w:t>Commandant Commendation; Deputy Commandant Commendation x3</w:t>
            </w:r>
          </w:p>
        </w:tc>
        <w:tc>
          <w:tcPr>
            <w:tcW w:type="dxa" w:w="5488"/>
            <w:tcBorders>
              <w:top w:val="single" w:sz="2" w:color="FFFFFF"/>
              <w:left w:val="single" w:sz="2" w:color="FFFFFF"/>
              <w:bottom w:val="single" w:sz="2" w:color="FFFFFF"/>
              <w:right w:val="single" w:sz="2" w:color="FFFFFF"/>
            </w:tcBorders>
            <w:vAlign w:val="top"/>
            <w:tcMar>
              <w:top w:w="20" w:type="dxa"/>
              <w:bottom w:w="20" w:type="dxa"/>
              <w:start w:w="0" w:type="dxa"/>
              <w:end w:w="60" w:type="dxa"/>
            </w:tcMar>
          </w:tcPr>
          <w:p>
            <w:pPr>
              <w:spacing w:after="0" w:before="0" w:line="240" w:lineRule="auto"/>
            </w:pPr>
            <w:r>
              <w:rPr>
                <w:rFonts w:ascii="Aptos" w:hAnsi="Aptos"/>
                <w:b/>
                <w:i w:val="0"/>
                <w:color w:val="17365D"/>
                <w:sz w:val="15"/>
              </w:rPr>
              <w:t>Selected credentials</w:t>
            </w:r>
            <w:r>
              <w:rPr>
                <w:rFonts w:ascii="Aptos" w:hAnsi="Aptos"/>
                <w:b w:val="0"/>
                <w:i w:val="0"/>
                <w:color w:val="1F2933"/>
                <w:sz w:val="14"/>
              </w:rPr>
              <w:br/>
              <w:t>Python | Machine Learning | Microsoft Excel | VBA</w:t>
              <w:br/>
              <w:t>PSS Selling | The Challenger Sale</w:t>
            </w:r>
          </w:p>
        </w:tc>
      </w:tr>
    </w:tbl>
    <w:sectPr w:rsidR="00FC693F" w:rsidRPr="0006063C" w:rsidSect="00034616">
      <w:pgSz w:w="11906" w:h="16838"/>
      <w:pgMar w:top="386" w:right="465" w:bottom="386" w:left="4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r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ptos" w:hAnsi="Apto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ptos" w:hAnsi="Aptos"/>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ptos" w:hAnsi="Aptos"/>
    </w:rPr>
  </w:style>
  <w:style w:type="paragraph" w:styleId="List2">
    <w:name w:val="List 2"/>
    <w:basedOn w:val="Normal"/>
    <w:uiPriority w:val="99"/>
    <w:unhideWhenUsed/>
    <w:rsid w:val="00326F90"/>
    <w:pPr>
      <w:ind w:left="720" w:hanging="360"/>
      <w:contextualSpacing/>
    </w:pPr>
    <w:rPr>
      <w:rFonts w:ascii="Aptos" w:hAnsi="Aptos"/>
    </w:rPr>
  </w:style>
  <w:style w:type="paragraph" w:styleId="List3">
    <w:name w:val="List 3"/>
    <w:basedOn w:val="Normal"/>
    <w:uiPriority w:val="99"/>
    <w:unhideWhenUsed/>
    <w:rsid w:val="00326F90"/>
    <w:pPr>
      <w:ind w:left="1080" w:hanging="360"/>
      <w:contextualSpacing/>
    </w:pPr>
    <w:rPr>
      <w:rFonts w:ascii="Aptos" w:hAnsi="Aptos"/>
    </w:r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rPr>
      <w:rFonts w:ascii="Aptos" w:hAnsi="Aptos"/>
    </w:rPr>
  </w:style>
  <w:style w:type="paragraph" w:styleId="ListBullet3">
    <w:name w:val="List Bullet 3"/>
    <w:basedOn w:val="Normal"/>
    <w:uiPriority w:val="99"/>
    <w:unhideWhenUsed/>
    <w:rsid w:val="00326F90"/>
    <w:pPr>
      <w:numPr>
        <w:numId w:val="3"/>
      </w:numPr>
      <w:contextualSpacing/>
    </w:pPr>
    <w:rPr>
      <w:rFonts w:ascii="Aptos" w:hAnsi="Aptos"/>
    </w:r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rPr>
      <w:rFonts w:ascii="Aptos" w:hAnsi="Aptos"/>
    </w:rPr>
  </w:style>
  <w:style w:type="paragraph" w:styleId="ListNumber3">
    <w:name w:val="List Number 3"/>
    <w:basedOn w:val="Normal"/>
    <w:uiPriority w:val="99"/>
    <w:unhideWhenUsed/>
    <w:rsid w:val="0029639D"/>
    <w:pPr>
      <w:numPr>
        <w:numId w:val="7"/>
      </w:numPr>
      <w:contextualSpacing/>
    </w:pPr>
    <w:rPr>
      <w:rFonts w:ascii="Aptos" w:hAnsi="Aptos"/>
    </w:rPr>
  </w:style>
  <w:style w:type="paragraph" w:styleId="ListContinue">
    <w:name w:val="List Continue"/>
    <w:basedOn w:val="Normal"/>
    <w:uiPriority w:val="99"/>
    <w:unhideWhenUsed/>
    <w:rsid w:val="0029639D"/>
    <w:pPr>
      <w:spacing w:after="120"/>
      <w:ind w:left="360"/>
      <w:contextualSpacing/>
    </w:pPr>
    <w:rPr>
      <w:rFonts w:ascii="Aptos" w:hAnsi="Aptos"/>
    </w:rPr>
  </w:style>
  <w:style w:type="paragraph" w:styleId="ListContinue2">
    <w:name w:val="List Continue 2"/>
    <w:basedOn w:val="Normal"/>
    <w:uiPriority w:val="99"/>
    <w:unhideWhenUsed/>
    <w:rsid w:val="0029639D"/>
    <w:pPr>
      <w:spacing w:after="120"/>
      <w:ind w:left="720"/>
      <w:contextualSpacing/>
    </w:pPr>
    <w:rPr>
      <w:rFonts w:ascii="Aptos" w:hAnsi="Aptos"/>
    </w:rPr>
  </w:style>
  <w:style w:type="paragraph" w:styleId="ListContinue3">
    <w:name w:val="List Continue 3"/>
    <w:basedOn w:val="Normal"/>
    <w:uiPriority w:val="99"/>
    <w:unhideWhenUsed/>
    <w:rsid w:val="0029639D"/>
    <w:pPr>
      <w:spacing w:after="120"/>
      <w:ind w:left="1080"/>
      <w:contextualSpacing/>
    </w:pPr>
    <w:rPr>
      <w:rFonts w:ascii="Aptos" w:hAnsi="Apto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Jason Rae - Director of Data Analytics Resume</dc:title>
  <dc:subject>Commercial Analytics, BI, Applied AI, Forecasting, Pricing, Power BI, Python</dc:subject>
  <dc:creator>Jason Rae</dc:creator>
  <cp:keywords>Director Data Analytics, Head of Analytics, Commercial Analytics, Power BI, Python, SQL, Machine Learning, AI, Forecasting, Pricing Analytics, CRM Analytics, BI Transformation, Decision Intelligence, Data Governance, KPI Governance</cp:keywords>
  <dc:description>Resume pack generated for human review and AI/ATS readability. No hidden text, no prompt injection, no invisible keyword stuffing.</dc:description>
  <cp:lastModifiedBy>Jason Rae</cp:lastModifiedBy>
  <cp:revision>1</cp:revision>
  <dcterms:created xsi:type="dcterms:W3CDTF">2013-12-23T23:15:00Z</dcterms:created>
  <dcterms:modified xsi:type="dcterms:W3CDTF">2013-12-23T23:15:00Z</dcterms:modified>
  <cp:category>Career documents</cp:category>
</cp:coreProperties>
</file>