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Head of Analytics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of Analytics | Business Intelligence | KPI Governance | Executive Dashboards | Revenue Analytics</w:t>
      </w:r>
    </w:p>
    <w:p>
      <w:pPr>
        <w:pStyle w:val="Heading1"/>
        <w:spacing w:before="160" w:after="80"/>
      </w:pPr>
      <w:r>
        <w:rPr>
          <w:color w:val="0A192F"/>
        </w:rPr>
        <w:t>EXECUTIVE PROFILE</w:t>
      </w:r>
    </w:p>
    <w:p>
      <w:pPr>
        <w:spacing w:after="100" w:line="259" w:lineRule="auto"/>
      </w:pPr>
      <w:r>
        <w:t>Commercial analytics and applied AI leader with 13+ years across sales leadership, analytics, pricing, forecasting, margin analysis, CRM governance, acquisition integration, and data transformation. Known for turning fragmented operating data into trusted KPI systems, executive dashboards, and measurable business decisions. Combines hands-on delivery in SQL, Python, Power BI, machine learning, and governed LLM workflows with cross-functional leadership across Sales, Finance, BI, and executive stakeholders. Strong fit for analytics leadership roles that require business intelligence, data quality, scalable reporting, and revenue-linked analytics strategy.</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Business intelligence</w:t>
            </w:r>
          </w:p>
        </w:tc>
        <w:tc>
          <w:tcPr>
            <w:tcW w:type="dxa" w:w="8208"/>
          </w:tcPr>
          <w:p>
            <w:pPr>
              <w:spacing w:after="0" w:line="240" w:lineRule="auto"/>
            </w:pPr>
            <w:r>
              <w:rPr>
                <w:sz w:val="18"/>
              </w:rPr>
              <w:t>Build executive-ready reporting and analytical workflows across Power BI, Python, SQL, ML, and controlled LLM systems.</w:t>
            </w:r>
          </w:p>
        </w:tc>
      </w:tr>
      <w:tr>
        <w:tc>
          <w:tcPr>
            <w:tcW w:type="dxa" w:w="2304"/>
          </w:tcPr>
          <w:p>
            <w:pPr>
              <w:spacing w:after="0" w:line="240" w:lineRule="auto"/>
            </w:pPr>
            <w:r>
              <w:rPr>
                <w:b/>
                <w:color w:val="0A192F"/>
                <w:sz w:val="18"/>
              </w:rPr>
              <w:t>KPI visibility</w:t>
            </w:r>
          </w:p>
        </w:tc>
        <w:tc>
          <w:tcPr>
            <w:tcW w:type="dxa" w:w="8208"/>
          </w:tcPr>
          <w:p>
            <w:pPr>
              <w:spacing w:after="0" w:line="240" w:lineRule="auto"/>
            </w:pPr>
            <w:r>
              <w:rPr>
                <w:sz w:val="18"/>
              </w:rPr>
              <w:t>Own EMEA commercial analytics across pricing, forecasting, CRM analytics, incentives, and executive business reviews.</w:t>
            </w:r>
          </w:p>
        </w:tc>
      </w:tr>
      <w:tr>
        <w:tc>
          <w:tcPr>
            <w:tcW w:type="dxa" w:w="2304"/>
          </w:tcPr>
          <w:p>
            <w:pPr>
              <w:spacing w:after="0" w:line="240" w:lineRule="auto"/>
            </w:pPr>
            <w:r>
              <w:rPr>
                <w:b/>
                <w:color w:val="0A192F"/>
                <w:sz w:val="18"/>
              </w:rPr>
              <w:t>Data integrity</w:t>
            </w:r>
          </w:p>
        </w:tc>
        <w:tc>
          <w:tcPr>
            <w:tcW w:type="dxa" w:w="8208"/>
          </w:tcPr>
          <w:p>
            <w:pPr>
              <w:spacing w:after="0" w:line="240" w:lineRule="auto"/>
            </w:pPr>
            <w:r>
              <w:rPr>
                <w:sz w:val="18"/>
              </w:rPr>
              <w:t>Corrected long-running FX and reporting logic issues that were distorting commercial decisions.</w:t>
            </w:r>
          </w:p>
        </w:tc>
      </w:tr>
      <w:tr>
        <w:tc>
          <w:tcPr>
            <w:tcW w:type="dxa" w:w="2304"/>
          </w:tcPr>
          <w:p>
            <w:pPr>
              <w:spacing w:after="0" w:line="240" w:lineRule="auto"/>
            </w:pPr>
            <w:r>
              <w:rPr>
                <w:b/>
                <w:color w:val="0A192F"/>
                <w:sz w:val="18"/>
              </w:rPr>
              <w:t>Revenue impact</w:t>
            </w:r>
          </w:p>
        </w:tc>
        <w:tc>
          <w:tcPr>
            <w:tcW w:type="dxa" w:w="8208"/>
          </w:tcPr>
          <w:p>
            <w:pPr>
              <w:spacing w:after="0" w:line="240" w:lineRule="auto"/>
            </w:pPr>
            <w:r>
              <w:rPr>
                <w:sz w:val="18"/>
              </w:rPr>
              <w:t>Delivered EUR 3M sales growth against an initial target of approximately EUR 300k and EUR 1.3M UK growth in 2023 at roughly 4x target.</w:t>
            </w:r>
          </w:p>
        </w:tc>
      </w:tr>
      <w:tr>
        <w:tc>
          <w:tcPr>
            <w:tcW w:type="dxa" w:w="2304"/>
          </w:tcPr>
          <w:p>
            <w:pPr>
              <w:spacing w:after="0" w:line="240" w:lineRule="auto"/>
            </w:pPr>
            <w:r>
              <w:rPr>
                <w:b/>
                <w:color w:val="0A192F"/>
                <w:sz w:val="18"/>
              </w:rPr>
              <w:t>Cross-functional work</w:t>
            </w:r>
          </w:p>
        </w:tc>
        <w:tc>
          <w:tcPr>
            <w:tcW w:type="dxa" w:w="8208"/>
          </w:tcPr>
          <w:p>
            <w:pPr>
              <w:spacing w:after="0" w:line="240" w:lineRule="auto"/>
            </w:pPr>
            <w:r>
              <w:rPr>
                <w:sz w:val="18"/>
              </w:rPr>
              <w:t>Partner across Sales, Finance, BI, IT, and country teams to improve trust in operating data and decision speed.</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SQL | Python | Power BI | Machine Learning | LLM Workflows | KPI Tracking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