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Head of AI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of AI | AI Product Enablement | AI Governance | Cross-Functional Delivery | Applied AI</w:t>
      </w:r>
    </w:p>
    <w:p>
      <w:pPr>
        <w:pStyle w:val="Heading1"/>
        <w:spacing w:before="160" w:after="80"/>
      </w:pPr>
      <w:r>
        <w:rPr>
          <w:color w:val="0A192F"/>
        </w:rPr>
        <w:t>EXECUTIVE PROFILE</w:t>
      </w:r>
    </w:p>
    <w:p>
      <w:pPr>
        <w:spacing w:after="100" w:line="259" w:lineRule="auto"/>
      </w:pPr>
      <w:r>
        <w:t>Commercial analytics and applied AI leader with 13+ years across sales leadership, analytics, pricing, forecasting, margin analysis, CRM governance, acquisition integration, and data transformation. Brings a rare combination of commercial operating judgment, hands-on machine learning depth, and practical AI workflow delivery. Strongest where AI needs to move from concept to governed business use cases, with clear stakeholder alignment, executive visibility, and measurable value creation. Experienced in Python, SQL, Power BI, machine learning, TensorFlow since 2016, and controlled LLM workflows, with a strong cross-functional operating style across business and technical teams.</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AI enablement</w:t>
            </w:r>
          </w:p>
        </w:tc>
        <w:tc>
          <w:tcPr>
            <w:tcW w:type="dxa" w:w="8208"/>
          </w:tcPr>
          <w:p>
            <w:pPr>
              <w:spacing w:after="0" w:line="240" w:lineRule="auto"/>
            </w:pPr>
            <w:r>
              <w:rPr>
                <w:sz w:val="18"/>
              </w:rPr>
              <w:t>Led European contribution to a global applied AI initiative and built training paths for safer AI adoption across real workflows.</w:t>
            </w:r>
          </w:p>
        </w:tc>
      </w:tr>
      <w:tr>
        <w:tc>
          <w:tcPr>
            <w:tcW w:type="dxa" w:w="2304"/>
          </w:tcPr>
          <w:p>
            <w:pPr>
              <w:spacing w:after="0" w:line="240" w:lineRule="auto"/>
            </w:pPr>
            <w:r>
              <w:rPr>
                <w:b/>
                <w:color w:val="0A192F"/>
                <w:sz w:val="18"/>
              </w:rPr>
              <w:t>Business translation</w:t>
            </w:r>
          </w:p>
        </w:tc>
        <w:tc>
          <w:tcPr>
            <w:tcW w:type="dxa" w:w="8208"/>
          </w:tcPr>
          <w:p>
            <w:pPr>
              <w:spacing w:after="0" w:line="240" w:lineRule="auto"/>
            </w:pPr>
            <w:r>
              <w:rPr>
                <w:sz w:val="18"/>
              </w:rPr>
              <w:t>Translate technical capability into practical business use cases and executive-ready communication.</w:t>
            </w:r>
          </w:p>
        </w:tc>
      </w:tr>
      <w:tr>
        <w:tc>
          <w:tcPr>
            <w:tcW w:type="dxa" w:w="2304"/>
          </w:tcPr>
          <w:p>
            <w:pPr>
              <w:spacing w:after="0" w:line="240" w:lineRule="auto"/>
            </w:pPr>
            <w:r>
              <w:rPr>
                <w:b/>
                <w:color w:val="0A192F"/>
                <w:sz w:val="18"/>
              </w:rPr>
              <w:t>Cross-functional influence</w:t>
            </w:r>
          </w:p>
        </w:tc>
        <w:tc>
          <w:tcPr>
            <w:tcW w:type="dxa" w:w="8208"/>
          </w:tcPr>
          <w:p>
            <w:pPr>
              <w:spacing w:after="0" w:line="240" w:lineRule="auto"/>
            </w:pPr>
            <w:r>
              <w:rPr>
                <w:sz w:val="18"/>
              </w:rPr>
              <w:t>Operate across Sales, Finance, BI, IT, and leadership in complex multi-country environments.</w:t>
            </w:r>
          </w:p>
        </w:tc>
      </w:tr>
      <w:tr>
        <w:tc>
          <w:tcPr>
            <w:tcW w:type="dxa" w:w="2304"/>
          </w:tcPr>
          <w:p>
            <w:pPr>
              <w:spacing w:after="0" w:line="240" w:lineRule="auto"/>
            </w:pPr>
            <w:r>
              <w:rPr>
                <w:b/>
                <w:color w:val="0A192F"/>
                <w:sz w:val="18"/>
              </w:rPr>
              <w:t>Federated operations</w:t>
            </w:r>
          </w:p>
        </w:tc>
        <w:tc>
          <w:tcPr>
            <w:tcW w:type="dxa" w:w="8208"/>
          </w:tcPr>
          <w:p>
            <w:pPr>
              <w:spacing w:after="0" w:line="240" w:lineRule="auto"/>
            </w:pPr>
            <w:r>
              <w:rPr>
                <w:sz w:val="18"/>
              </w:rPr>
              <w:t>Led customer-level integration across two acquisitions, useful for multi-brand and post-merger coordination language.</w:t>
            </w:r>
          </w:p>
        </w:tc>
      </w:tr>
      <w:tr>
        <w:tc>
          <w:tcPr>
            <w:tcW w:type="dxa" w:w="2304"/>
          </w:tcPr>
          <w:p>
            <w:pPr>
              <w:spacing w:after="0" w:line="240" w:lineRule="auto"/>
            </w:pPr>
            <w:r>
              <w:rPr>
                <w:b/>
                <w:color w:val="0A192F"/>
                <w:sz w:val="18"/>
              </w:rPr>
              <w:t>Hands-on depth</w:t>
            </w:r>
          </w:p>
        </w:tc>
        <w:tc>
          <w:tcPr>
            <w:tcW w:type="dxa" w:w="8208"/>
          </w:tcPr>
          <w:p>
            <w:pPr>
              <w:spacing w:after="0" w:line="240" w:lineRule="auto"/>
            </w:pPr>
            <w:r>
              <w:rPr>
                <w:sz w:val="18"/>
              </w:rPr>
              <w:t>Build in Python, SQL, TensorFlow, machine learning, and governed LLM workflows rather than treating AI as abstract strategy.</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TensorFlow | Machine Learning | LLM Workflows | AI Enablement | Executive Reporting | Forecasting | Pricing | CRM Analytics | Cross-Functional Leadership | Governance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