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AlderWide cell.</w:t>
            </w:r>
          </w:p>
        </w:tc>
      </w:tr>
    </w:tbl>
    <w:p>
      <w:pPr/>
      <w:r>
        <w:rPr/>
        <w:t xml:space="preserve">AlderAfter table.</w:t>
      </w:r>
    </w:p>
    <w:p>
      <w:pPr/>
      <w:r>
        <w:rPr/>
        <w:t xml:space="preserve">BirchBefore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5400"/>
      </w:tblGrid>
      <w:tr>
        <w:trPr>
          <w:trHeight w:val="360" w:hRule="atLeas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BirchWide cell.</w:t>
            </w:r>
          </w:p>
        </w:tc>
      </w:tr>
    </w:tbl>
    <w:p>
      <w:pPr/>
      <w:r>
        <w:rPr/>
        <w:t xml:space="preserve">BirchAfter table.</w:t>
      </w:r>
    </w:p>
    <w:p>
      <w:pPr/>
      <w:r>
        <w:rPr/>
        <w:t xml:space="preserve">DogwoodBefore table.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DogwoodWide cell.</w:t>
            </w:r>
          </w:p>
        </w:tc>
      </w:tr>
    </w:tbl>
    <w:p>
      <w:pPr/>
      <w:r>
        <w:rPr/>
        <w:t xml:space="preserve">DogwoodAfter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