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Maple opening</w:t>
      </w:r>
    </w:p>
    <w:customXml w:element="Maple">
      <w:p>
        <w:pPr/>
        <w:commentRangeStart w:id="11"/>
        <w:r>
          <w:rPr/>
          <w:t xml:space="preserve">Cedar clause</w:t>
        </w:r>
        <w:commentRangeEnd w:id="11"/>
        <w:r>
          <w:commentReference w:id="11"/>
        </w:r>
        <w:r>
          <w:commentReference w:id="11"/>
        </w:r>
      </w:p>
    </w:customXml>
    <w:p>
      <w:pPr/>
      <w:r>
        <w:rPr/>
        <w:t xml:space="preserve">Birch closing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11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