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Hazel boundary ledger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Hazel upper</w:t>
            </w:r>
          </w:p>
        </w:tc>
        <w:tc>
          <w:tcPr/>
          <w:p>
            <w:pPr/>
            <w:r>
              <w:rPr/>
              <w:t xml:space="preserve">Birch upper</w:t>
            </w:r>
          </w:p>
        </w:tc>
      </w:tr>
      <w:bookmarkStart w:id="73" w:name="HazelBoundary"/>
      <w:tr>
        <w:tc>
          <w:tcPr/>
          <w:p>
            <w:pPr/>
            <w:r>
              <w:rPr/>
              <w:t xml:space="preserve">Hazel lower</w:t>
            </w:r>
          </w:p>
        </w:tc>
        <w:tc>
          <w:tcPr/>
          <w:p>
            <w:pPr/>
            <w:r>
              <w:rPr/>
              <w:t xml:space="preserve">Birch lower</w:t>
            </w:r>
          </w:p>
        </w:tc>
      </w:tr>
      <w:bookmarkEnd w:id="73"/>
    </w:tbl>
    <w:p>
      <w:pPr/>
      <w:r>
        <w:rPr/>
        <w:t xml:space="preserve">Ledger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