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lead</w:t>
      </w:r>
    </w:p>
    <w:p>
      <w:pPr/>
      <w:r>
        <w:rPr/>
        <w:t xml:space="preserve">Dune citation revised</w:t>
      </w:r>
      <w:r>
        <w:rPr>
          <w:vertAlign w:val="superscript"/>
        </w:rPr>
        <w:footnoteReference w:id="1"/>
      </w:r>
    </w:p>
    <w:p>
      <w:pPr/>
      <w:r>
        <w:rPr/>
        <w:t xml:space="preserve">Reed citation</w:t>
      </w:r>
      <w:r>
        <w:rPr>
          <w:vertAlign w:val="superscript"/>
        </w:rPr>
        <w:footnoteReference w:id="2"/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Cobalt reference</w:t>
      </w:r>
    </w:p>
  </w:footnote>
  <w:footnote w:id="2">
    <w:p>
      <w:pPr/>
      <w:r>
        <w:footnoteRef/>
      </w:r>
      <w:r>
        <w:rPr/>
        <w:t xml:space="preserve"> Amber reference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