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Hazel boundary ledger</w:t>
      </w:r>
    </w:p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r>
              <w:rPr/>
              <w:t xml:space="preserve">Hazel upper</w:t>
            </w:r>
          </w:p>
        </w:tc>
        <w:tc>
          <w:tcPr/>
          <w:p>
            <w:pPr/>
            <w:r>
              <w:rPr/>
              <w:t xml:space="preserve">Birch upper</w:t>
            </w:r>
          </w:p>
        </w:tc>
      </w:tr>
      <w:tr>
        <w:tc>
          <w:tcPr/>
          <w:p>
            <w:pPr/>
            <w:r>
              <w:rPr/>
              <w:t xml:space="preserve">Hazel lower revised</w:t>
            </w:r>
          </w:p>
        </w:tc>
        <w:tc>
          <w:tcPr/>
          <w:p>
            <w:pPr/>
            <w:r>
              <w:rPr/>
              <w:t xml:space="preserve">Birch lower</w:t>
            </w:r>
          </w:p>
        </w:tc>
      </w:tr>
    </w:tbl>
    <w:p>
      <w:pPr/>
      <w:r>
        <w:rPr/>
        <w:t xml:space="preserve">Ledger complete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