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Cobalt station logs the evening signal.</w:t>
      </w:r>
    </w:p>
    <w:p>
      <w:r>
        <w:t xml:space="preserve">Five ceramic lenses rest inside the capsule.</w:t>
      </w:r>
    </w:p>
    <w:p>
      <w:r>
        <w:t xml:space="preserve">Quartz markers identify the northern relay.</w:t>
      </w:r>
    </w:p>
    <w:p>
      <w:r>
        <w:t xml:space="preserve">The violet dial records a steady pulse.</w:t>
      </w:r>
    </w:p>
    <w:tbl>
      <w:tblPr>
        <w:tblW w:w="4800" w:type="dxa"/>
      </w:tblPr>
      <w:tblGrid>
        <w:gridCol w:w="4800"/>
      </w:tblGrid>
      <w:tr>
        <w:tc>
          <w:tcPr>
            <w:tcW w:w="4800" w:type="dxa"/>
          </w:tcPr>
          <w:p>
            <w:r>
              <w:t xml:space="preserve">The cobalt capsule contains five ceramic lenses.</w:t>
            </w:r>
          </w:p>
        </w:tc>
      </w:tr>
    </w:tbl>
    <w:sectPr>
      <w:pgSz w:w="12240" w:h="15840"/>
      <w:pgMar w:top="1440" w:right="1440" w:bottom="1440" w:left="1440" w:header="360" w:footer="360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DejaVu Serif" w:hAnsi="DejaVu Serif" w:eastAsia="DejaVu Serif" w:cs="DejaVu Serif"/>
        <w:sz w:val="28"/>
        <w:szCs w:val="28"/>
      </w:rPr>
    </w:rPrDefault>
    <w:pPrDefault>
      <w:pPr>
        <w:spacing w:before="0" w:after="360" w:line="360" w:lineRule="auto"/>
      </w:pPr>
    </w:pPrDefault>
  </w:docDefaults>
  <w:style w:type="paragraph" w:styleId="Normal" w:default="1">
    <w:name w:val="Normal"/>
    <w:pPr/>
    <w:rPr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