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log begins here.</w:t>
      </w:r>
    </w:p>
    <w:p>
      <w:r>
        <w:t xml:space="preserve">Quartz relay signal chamber enabled.</w:t>
      </w:r>
    </w:p>
    <w:p>
      <w:r>
        <w:t xml:space="preserve">Amber sensor pressure chamber active.</w:t>
      </w:r>
    </w:p>
    <w:p>
      <w:r>
        <w:t xml:space="preserve">Cobalt log ends here.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/>
    <w:rPr/>
  </w:style>
  <w:style w:type="paragraph" w:styleId="PanelHeading">
    <w:name w:val="Panel Heading"/>
    <w:pPr>
      <w:keepNext/>
      <w:spacing w:before="240" w:after="120"/>
      <w:outlineLvl w:val="1"/>
    </w:pPr>
    <w:rPr>
      <w:rFonts w:ascii="DejaVu Sans" w:hAnsi="DejaVu Sans" w:eastAsia="DejaVu Sans" w:cs="DejaVu Sans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