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d3a0d4285e64431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c>
          <w:tcPr>
            <w:tcW w:w="2700" w:type="dxa"/>
          </w:tcPr>
          <w:p>
            <w:r>
              <w:t>North gauge</w:t>
            </w:r>
          </w:p>
        </w:tc>
        <w:tc>
          <w:tcPr>
            <w:tcW w:w="1600" w:type="dxa"/>
          </w:tcPr>
          <w:p>
            <w:r>
              <w:t>North bridge</w:t>
            </w:r>
          </w:p>
        </w:tc>
        <w:tc>
          <w:tcPr>
            <w:tcW w:w="2900" w:type="dxa"/>
          </w:tcPr>
          <w:p>
            <w:r>
              <w:t>North lock</w:t>
            </w:r>
          </w:p>
        </w:tc>
      </w:tr>
      <w:tr>
        <w:tc>
          <w:tcPr>
            <w:tcW w:w="2700" w:type="dxa"/>
          </w:tcPr>
          <w:p>
            <w:r>
              <w:t>South gauge</w:t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9a3e4f4abac4977" /></Relationships>
</file>