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4c4160e3044b03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" w:name="_Toc_Title"/>
      <w:r>
        <w:t xml:space="preserve">Series A Preferred Stock Purchase Agreement</w:t>
      </w:r>
      <w:bookmarkEnd w:id="1"/>
    </w:p>
    <w:p>
      <w:pPr>
        <w:pStyle w:val="Heading1"/>
      </w:pPr>
      <w:bookmarkStart w:id="2" w:name="_Ref_Definitions"/>
      <w:r>
        <w:t xml:space="preserve">Article I. Definitions</w:t>
      </w:r>
      <w:bookmarkEnd w:id="2"/>
    </w:p>
    <w:p>
      <w:r>
        <w:t xml:space="preserve">As used herein, the term </w:t>
      </w:r>
      <w:bookmarkStart w:id="3" w:name="_Ref_DefAffiliate"/>
      <w:r>
        <w:rPr>
          <w:b/>
        </w:rPr>
        <w:t xml:space="preserve">Affiliate</w:t>
      </w:r>
      <w:bookmarkEnd w:id="3"/>
      <w:r>
        <w:t xml:space="preserve"> means any person controlling, controlled by, or under common control with the Company.</w:t>
      </w:r>
    </w:p>
    <w:p>
      <w:r>
        <w:t xml:space="preserve">The term </w:t>
      </w:r>
      <w:bookmarkStart w:id="4" w:name="_Ref_DefClosing"/>
      <w:r>
        <w:rPr>
          <w:b/>
        </w:rPr>
        <w:t xml:space="preserve">Closing</w:t>
      </w:r>
      <w:bookmarkEnd w:id="4"/>
      <w:r>
        <w:t xml:space="preserve"> means the consummation of the purchase and sale of the Securities hereunder.</w:t>
      </w:r>
    </w:p>
    <w:p>
      <w:r>
        <w:t xml:space="preserve">The term </w:t>
      </w:r>
      <w:bookmarkStart w:id="5" w:name="_Ref_DefSecurities"/>
      <w:r>
        <w:rPr>
          <w:b/>
        </w:rPr>
        <w:t xml:space="preserve">Securities</w:t>
      </w:r>
      <w:bookmarkEnd w:id="5"/>
      <w:r>
        <w:t xml:space="preserve"> means the shares of Series A Preferred Stock being issued and sold under this Agreement.</w:t>
      </w:r>
    </w:p>
    <w:p>
      <w:pPr>
        <w:pStyle w:val="Heading1"/>
      </w:pPr>
      <w:bookmarkStart w:id="6" w:name="_Ref_Sec2"/>
      <w:r>
        <w:t xml:space="preserve">Article II. Purchase and Sale</w:t>
      </w:r>
      <w:bookmarkEnd w:id="6"/>
    </w:p>
    <w:p>
      <w:r>
        <w:t xml:space="preserve">Subject to the terms hereof, each Purchaser agrees to purchase the Securities from any </w:t>
      </w:r>
      <w:r>
        <w:fldChar w:fldCharType="begin"/>
      </w:r>
      <w:r>
        <w:instrText xml:space="preserve"> REF _Ref_DefAffiliate \h </w:instrText>
      </w:r>
      <w:r>
        <w:fldChar w:fldCharType="separate"/>
      </w:r>
      <w:r>
        <w:t xml:space="preserve">Affiliate</w:t>
      </w:r>
      <w:r>
        <w:fldChar w:fldCharType="end"/>
      </w:r>
      <w:r>
        <w:t xml:space="preserve"> of the Company</w:t>
      </w:r>
      <w:bookmarkStart w:id="7" w:name="_Ref_FnMark1"/>
      <w:r>
        <w:rPr>
          <w:rStyle w:val="FootnoteReference"/>
        </w:rPr>
        <w:footnoteReference w:id="1"/>
      </w:r>
      <w:bookmarkEnd w:id="7"/>
      <w:r>
        <w:t xml:space="preserve"> in accordance with this Article II.</w:t>
      </w:r>
    </w:p>
    <w:p>
      <w:r>
        <w:t xml:space="preserve">The definition of the Securities appears on page </w:t>
      </w:r>
      <w:r>
        <w:fldChar w:fldCharType="begin"/>
      </w:r>
      <w:r>
        <w:instrText xml:space="preserve"> PAGEREF _Ref_DefSecurities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of this Agreement.</w:t>
      </w:r>
    </w:p>
    <w:p>
      <w:pPr>
        <w:pStyle w:val="Heading1"/>
      </w:pPr>
      <w:bookmarkStart w:id="8" w:name="_Ref_Sec3"/>
      <w:r>
        <w:t xml:space="preserve">Article III. Closing</w:t>
      </w:r>
      <w:bookmarkEnd w:id="8"/>
    </w:p>
    <w:p>
      <w:r>
        <w:t xml:space="preserve">The transfer restrictions described in note </w:t>
      </w:r>
      <w:r>
        <w:fldChar w:fldCharType="begin"/>
      </w:r>
      <w:r>
        <w:instrText xml:space="preserve"> NOTEREF _Ref_FnMark1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apply at the </w:t>
      </w:r>
      <w:hyperlink w:anchor="_Ref_DefClosing">
        <w:r>
          <w:rPr>
            <w:rStyle w:val="Hyperlink"/>
          </w:rPr>
          <w:t xml:space="preserve">Closing</w:t>
        </w:r>
      </w:hyperlink>
      <w:r>
        <w:t xml:space="preserve"> of the transactions</w:t>
      </w:r>
      <w:r>
        <w:rPr>
          <w:rStyle w:val="FootnoteReference"/>
        </w:rPr>
        <w:footnoteReference w:id="2"/>
      </w:r>
      <w:r>
        <w:t xml:space="preserve"> contemplated hereby</w:t>
      </w:r>
      <w:r>
        <w:rPr>
          <w:rStyle w:val="EndnoteReference"/>
        </w:rPr>
        <w:endnoteReference w:id="1"/>
      </w:r>
      <w:r>
        <w:t xml:space="preserve">.</w:t>
      </w:r>
    </w:p>
    <w:p>
      <w:r>
        <w:t xml:space="preserve">Each Purchaser confirms the representations of this Article III</w:t>
      </w:r>
      <w:r>
        <w:rPr>
          <w:rStyle w:val="FootnoteReference"/>
        </w:rPr>
        <w:footnoteReference w:id="3"/>
      </w:r>
      <w:r>
        <w:t xml:space="preserve"> are true and correct as of the Closing.</w:t>
      </w:r>
    </w:p>
    <w:p>
      <w:pPr>
        <w:pStyle w:val="Heading1"/>
      </w:pPr>
      <w:bookmarkStart w:id="9" w:name="_Ref_Sec4"/>
      <w:r>
        <w:t xml:space="preserve">Article IV. Miscellaneous</w:t>
      </w:r>
      <w:bookmarkEnd w:id="9"/>
    </w:p>
    <w:p>
      <w:r>
        <w:t xml:space="preserve">The obligations under </w:t>
      </w:r>
      <w:r>
        <w:fldChar w:fldCharType="begin"/>
      </w:r>
      <w:r>
        <w:instrText xml:space="preserve"> REF _Ref_Sec2 \h </w:instrText>
      </w:r>
      <w:r>
        <w:fldChar w:fldCharType="separate"/>
      </w:r>
      <w:r>
        <w:t xml:space="preserve">Article II</w:t>
      </w:r>
      <w:r>
        <w:fldChar w:fldCharType="end"/>
      </w:r>
      <w:r>
        <w:t xml:space="preserve"> and the definitions in </w:t>
      </w:r>
      <w:r>
        <w:fldChar w:fldCharType="begin"/>
      </w:r>
      <w:r>
        <w:instrText xml:space="preserve"> REF _Ref_Definitions \h </w:instrText>
      </w:r>
      <w:r>
        <w:fldChar w:fldCharType="separate"/>
      </w:r>
      <w:r>
        <w:t xml:space="preserve">Article I</w:t>
      </w:r>
      <w:r>
        <w:fldChar w:fldCharType="end"/>
      </w:r>
      <w:r>
        <w:t xml:space="preserve"> survive the Closing described at page </w:t>
      </w:r>
      <w:r>
        <w:fldChar w:fldCharType="begin"/>
      </w:r>
      <w:r>
        <w:instrText xml:space="preserve"> PAGEREF _Ref_Sec3 \h </w:instrText>
      </w:r>
      <w:r>
        <w:fldChar w:fldCharType="separate"/>
      </w:r>
      <w:r>
        <w:t xml:space="preserve">6</w:t>
      </w:r>
      <w:r>
        <w:fldChar w:fldCharType="end"/>
      </w:r>
      <w:r>
        <w:t xml:space="preserve">, including any Affiliate transfer</w:t>
      </w:r>
      <w:r>
        <w:rPr>
          <w:rStyle w:val="FootnoteReference"/>
        </w:rPr>
        <w:footnoteReference w:id="5"/>
      </w:r>
      <w:r>
        <w:t xml:space="preserve"> permitted hereunder.</w:t>
      </w:r>
    </w:p>
    <w:p>
      <w:r>
        <w:t xml:space="preserve">Capitalization and notice provisions are set forth in </w:t>
      </w:r>
      <w:bookmarkStart w:id="10" w:name="_Ref_Schedule"/>
      <w:r>
        <w:rPr>
          <w:b/>
        </w:rPr>
        <w:t xml:space="preserve">Schedule A</w:t>
      </w:r>
      <w:bookmarkEnd w:id="10"/>
      <w:r>
        <w:t xml:space="preserve"> hereto</w:t>
      </w:r>
      <w:r>
        <w:rPr>
          <w:rStyle w:val="EndnoteReference"/>
        </w:rPr>
        <w:endnoteReference w:id="2"/>
      </w:r>
      <w:r>
        <w:t xml:space="preserve">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Schedule A lists the authorized and outstanding capital stock as of the date hereof.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Notices are deemed given upon confirmed electronic delivery.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Capitalized terms are defined in Article I of this Agreement.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The transfer restrictions survive the Closing; see also note </w:t>
      </w:r>
      <w:r>
        <w:rPr>
          <w:rStyle w:val="FootnoteReference"/>
        </w:rPr>
        <w:footnoteReference w:id="5"/>
      </w:r>
      <w:r>
        <w:t xml:space="preserve"> below.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Each Purchaser severally and not jointly makes the foregoing representation.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Affiliate transfers remain subject to the right of first refusal in Section 4.2.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8d3964eeeb94994" /><Relationship Type="http://schemas.openxmlformats.org/officeDocument/2006/relationships/settings" Target="/word/settings.xml" Id="R2a1a5ced125c42e9" /><Relationship Type="http://schemas.openxmlformats.org/officeDocument/2006/relationships/footnotes" Target="/word/footnotes.xml" Id="R94f8c2f5316f4a43" /><Relationship Type="http://schemas.openxmlformats.org/officeDocument/2006/relationships/endnotes" Target="/word/endnotes.xml" Id="Rff3c729cc672452f" /></Relationships>
</file>