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Rasters with different dimensions fail a mandatory check and score zero.</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1,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(visible text excludes the invisible Unicode bidirectional formatting controls U+061C, U+200E, U+200F and U+202A–U+202E, U+2066–U+2069; every other character, including letters, punctuation, soft hyphens and zero-width spaces, still counts, and each normalized word keeps its raw extraction as evidence), declared font families, and each case's assertions. Physical box coordinates include UserUnit. Marker matching uses the same visible text and must be unique; ambiguity fails. Region assertion version 2 allows a declared 0.0001-point boundary tolerance for PDF coordinate serialization, about 0.000133 pixels at 96 DPI; version 1 retains exact boundaries. This does not shift or align rasters. Current assertions check named regions/page membership, markers sharing a page, and marker origins relative to the captured reference. The endnote origin uses 0.5-point tolerance and the reference page, so reference providers can use distinct endnote page layouts.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