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FlintFloatStart</w:t>
      </w:r>
      <w:r>
        <w:drawing>
          <wp:anchor distT="38100" distB="38100" distL="38100" distR="38100" simplePos="0" relativeHeight="3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51000" cy="6477000"/>
            <wp:wrapSquare wrapText="bothSides"/>
            <wp:docPr id="16" name="Flint woven tile"/>
            <wp:cNvGraphicFramePr/>
            <a:graphic>
              <a:graphicData uri="http://schemas.openxmlformats.org/drawingml/2006/picture">
                <pic:pic>
                  <pic:nvPicPr>
                    <pic:cNvPr id="16" name="Flint woven til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FlintFloatEnd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