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FlintFloatStart</w:t>
      </w:r>
      <w:r>
        <w:drawing>
          <wp:anchor distT="38100" distB="38100" distL="38100" distR="38100" simplePos="0" relativeHeight="3" behindDoc="0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651000" cy="2413000"/>
            <wp:wrapTight wrapText="bothSides">
              <wp:wrapPolygon edited="0">
                <wp:start x="0" y="0"/>
                <wp:lineTo x="21600" y="0"/>
                <wp:lineTo x="21600" y="21600"/>
                <wp:lineTo x="0" y="21600"/>
                <wp:lineTo x="0" y="0"/>
              </wp:wrapPolygon>
            </wp:wrapTight>
            <wp:docPr id="16" name="Flint woven tile"/>
            <wp:cNvGraphicFramePr/>
            <a:graphic>
              <a:graphicData uri="http://schemas.openxmlformats.org/drawingml/2006/picture">
                <pic:pic>
                  <pic:nvPicPr>
                    <pic:cNvPr id="16" name="Flint woven tile"/>
                    <pic:cNvPicPr/>
                  </pic:nvPicPr>
                  <pic:blipFill>
                    <a:blip r:embed="rFlintTile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/>
      <w:r>
        <w:rPr/>
        <w:t xml:space="preserve">FlintFloatEnd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FlintTile" Type="http://schemas.openxmlformats.org/officeDocument/2006/relationships/image" Target="media/flint-weave.png"/></Relationships>
</file>