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FlintFloatStart</w:t>
      </w:r>
      <w:r>
        <w:drawing>
          <wp:anchor distT="38100" distB="38100" distL="38100" distR="38100" simplePos="0" relativeHeight="3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651000" cy="6477000"/>
            <wp:wrapTight wrapText="bothSides">
              <wp:wrapPolygon edited="0">
                <wp:start x="0" y="0"/>
                <wp:lineTo x="21600" y="0"/>
                <wp:lineTo x="21600" y="21600"/>
                <wp:lineTo x="0" y="21600"/>
                <wp:lineTo x="0" y="0"/>
              </wp:wrapPolygon>
            </wp:wrapTight>
            <wp:docPr id="16" name="Flint woven tile"/>
            <wp:cNvGraphicFramePr/>
            <a:graphic>
              <a:graphicData uri="http://schemas.openxmlformats.org/drawingml/2006/picture">
                <pic:pic>
                  <pic:nvPicPr>
                    <pic:cNvPr id="16" name="Flint woven tile"/>
                    <pic:cNvPicPr/>
                  </pic:nvPicPr>
                  <pic:blipFill>
                    <a:blip r:embed="rFlintTile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/>
      <w:r>
        <w:rPr/>
        <w:t xml:space="preserve">FlintFloatEnd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lintTile" Type="http://schemas.openxmlformats.org/officeDocument/2006/relationships/image" Target="media/flint-weave.png"/></Relationships>
</file>