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>
        <w:spacing w:line="720" w:lineRule="auto"/>
      </w:pPr>
      <w:r>
        <w:drawing>
          <wp:inline distT="0" distB="0" distL="0" distR="0">
            <wp:extent cx="2235200" cy="863600"/>
            <wp:docPr id="18" name="Flint inset pane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352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/>
                        <w:r>
                          <w:rPr/>
                          <w:t xml:space="preserve">FlintBoxLine1</w:t>
                        </w:r>
                      </w:p>
                      <w:p>
                        <w:pPr/>
                        <w:r>
                          <w:rPr/>
                          <w:t xml:space="preserve">FlintBoxLine2</w:t>
                        </w:r>
                      </w:p>
                      <w:p>
                        <w:pPr/>
                        <w:r>
                          <w:rPr/>
                          <w:t xml:space="preserve">FlintBoxLine3</w:t>
                        </w:r>
                      </w:p>
                      <w:p>
                        <w:pPr/>
                        <w:r>
                          <w:rPr/>
                          <w:t xml:space="preserve">FlintBoxLine4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FlintBoxReceipt</w:t>
      </w:r>
    </w:p>
    <w:sectPr>
      <w:pgSz w:w="6800" w:h="92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2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