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</w:tblPr>
      <w:tblGrid>
        <w:gridCol w:w="4680"/>
        <w:gridCol w:w="4680"/>
      </w:tblGrid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Lot02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Entry10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 w:val="restart"/>
          </w:tcPr>
          <w:p>
            <w:pPr>
              <w:keepNext/>
            </w:pPr>
            <w:r>
              <w:rPr/>
              <w:t xml:space="preserve">Lot11 Birch sample.</w:t>
            </w:r>
          </w:p>
        </w:tc>
        <w:tc>
          <w:tcPr>
            <w:tcW w:w="4680" w:type="dxa"/>
          </w:tcPr>
          <w:p>
            <w:pPr>
              <w:keepNext/>
            </w:pPr>
            <w:r>
              <w:rPr/>
              <w:t xml:space="preserve">Entry11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/>
          </w:tcPr>
          <w:p>
            <w:pPr>
              <w:keepNext/>
            </w:pPr>
            <w:r>
              <w:rPr/>
              <w:t xml:space="preserve"/>
            </w:r>
          </w:p>
        </w:tc>
        <w:tc>
          <w:tcPr>
            <w:tcW w:w="4680" w:type="dxa"/>
          </w:tcPr>
          <w:p>
            <w:pPr>
              <w:keepNext/>
            </w:pPr>
            <w:r>
              <w:rPr/>
              <w:t xml:space="preserve">Entry12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  <w:vMerge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Entry13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Lot20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Entry20 Delivery ledger.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