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PlacementBefore The register opens above the table.</w:t>
      </w:r>
    </w:p>
    <w:tbl>
      <w:tblPr>
        <w:tblW w:w="50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V w:val="single" w:sz="8" w:color="000000"/>
        </w:tblBorders>
        <w:tblLayout w:type="fixed"/>
      </w:tblPr>
      <w:tblGrid>
        <w:gridCol w:w="2500"/>
        <w:gridCol w:w="2500"/>
      </w:tblGrid>
      <w:tr>
        <w:trPr>
          <w:trHeight w:val="360" w:hRule="atLeast"/>
        </w:trPr>
        <w:tc>
          <w:tcPr>
            <w:tcW w:w="2500" w:type="dxa"/>
          </w:tcPr>
          <w:p>
            <w:pPr/>
            <w:r>
              <w:rPr/>
              <w:t xml:space="preserve">IndentLeft Ledger cell.</w:t>
            </w:r>
          </w:p>
        </w:tc>
        <w:tc>
          <w:tcPr>
            <w:tcW w:w="2500" w:type="dxa"/>
          </w:tcPr>
          <w:p>
            <w:pPr/>
            <w:r>
              <w:rPr/>
              <w:t xml:space="preserve">IndentRight Entry cell.</w:t>
            </w:r>
          </w:p>
        </w:tc>
      </w:tr>
    </w:tbl>
    <w:p>
      <w:pPr/>
      <w:r>
        <w:rPr/>
        <w:t xml:space="preserve">PlacementAfter The register continues below.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20" w:lineRule="exact"/>
      </w:pPr>
    </w:pPrDefault>
  </w:docDefaults>
  <w:style w:type="paragraph" w:default="1" w:styleId="Normal">
    <w:name w:val="Normal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