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60" w:hRule="exact"/>
        </w:trPr>
        <w:tc>
          <w:tcPr>
            <w:tcW w:w="3600" w:type="dxa"/>
          </w:tcPr>
          <w:p>
            <w:pPr>
              <w:pBdr>
                <w:top w:val="single" w:sz="12" w:space="2" w:color="246B7D"/>
                <w:left w:val="single" w:sz="12" w:space="2" w:color="246B7D"/>
                <w:bottom w:val="single" w:sz="12" w:space="2" w:color="246B7D"/>
                <w:right w:val="single" w:sz="12" w:space="2" w:color="246B7D"/>
              </w:pBdr>
              <w:spacing w:after="0"/>
            </w:pPr>
            <w:r>
              <w:rPr/>
              <w:t xml:space="preserve">BoxClip Juniper card. </w:t>
            </w:r>
            <w:r>
              <w:br/>
            </w:r>
            <w:r>
              <w:br/>
            </w:r>
            <w:r>
              <w:rPr/>
              <w:t xml:space="preserve">   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BoxCell Neighbour cell.</w:t>
            </w:r>
          </w:p>
        </w:tc>
      </w:tr>
    </w:tbl>
    <w:p>
      <w:pPr>
        <w:spacing w:after="0"/>
      </w:pPr>
      <w:r>
        <w:rPr/>
        <w:t xml:space="preserve">BoxAfter The card register continues.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