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LarchOpening </w:t>
      </w:r>
      <w:r>
        <w:ruby>
          <w:rubyPr>
            <w:rubyAlign w:val="center"/>
            <w:hps w:val="12"/>
            <w:hpsRaise w:val="22"/>
            <w:hpsBaseText w:val="22"/>
            <w:lid w:val="en-US"/>
          </w:rubyPr>
          <w:rt>
            <w:r>
              <w:rPr>
                <w:sz w:val="12"/>
                <w:szCs w:val="12"/>
              </w:rPr>
              <w:t xml:space="preserve">needle</w:t>
            </w:r>
          </w:rt>
          <w:rubyBase>
            <w:r>
              <w:rPr/>
              <w:t xml:space="preserve">LARCH</w:t>
            </w:r>
          </w:rubyBase>
        </w:ruby>
      </w:r>
      <w:r>
        <w:rPr/>
        <w:t xml:space="preserve"> LarchClosing</w:t>
      </w:r>
    </w:p>
    <w:p>
      <w:pPr/>
      <w:r>
        <w:rPr/>
        <w:t xml:space="preserve">LarchReceipt</w:t>
      </w:r>
    </w:p>
    <w:sectPr>
      <w:pgSz w:w="6000" w:h="4800"/>
      <w:pgMar w:top="600" w:right="600" w:bottom="600" w:left="600" w:header="300" w:footer="30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