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drawing>
          <wp:anchor distT="0" distB="0" distL="0" distR="50800" simplePos="0" relativeHeight="5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17600" cy="863600"/>
            <wp:wrapSquare wrapText="right"/>
            <wp:docPr id="61" name="Jasper checker panel"/>
            <a:graphic>
              <a:graphicData uri="http://schemas.openxmlformats.org/drawingml/2006/picture">
                <pic:pic>
                  <pic:nvPicPr>
                    <pic:cNvPr id="61" name="Jasper checker panel"/>
                    <pic:cNvPicPr/>
                  </pic:nvPicPr>
                  <pic:blipFill>
                    <a:blip r:embed="rJasperCheck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JasperWrapMarker</w:t>
      </w:r>
    </w:p>
    <w:p>
      <w:pPr/>
      <w:r>
        <w:rPr/>
        <w:t xml:space="preserve">JasperWrapReceipt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JasperCheck" Type="http://schemas.openxmlformats.org/officeDocument/2006/relationships/image" Target="media/jasper-check.png"/></Relationships>
</file>