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Maple opening</w:t>
      </w:r>
    </w:p>
    <w:sdt>
      <w:sdtPr>
        <w:tag w:val="Maple"/>
        <w:id w:val="4100"/>
      </w:sdtPr>
      <w:sdtContent>
        <w:p>
          <w:pPr/>
          <w:commentRangeStart w:id="11"/>
          <w:r>
            <w:rPr/>
            <w:t xml:space="preserve">Cedar clause</w:t>
          </w:r>
          <w:commentRangeEnd w:id="11"/>
          <w:r>
            <w:commentReference w:id="11"/>
          </w:r>
        </w:p>
      </w:sdtContent>
    </w:sdt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