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Harbor opening.</w:t>
      </w:r>
    </w:p>
    <w:p>
      <w:r>
        <w:t xml:space="preserve">Harbor register note.</w:t>
      </w:r>
    </w:p>
    <w:tbl>
      <w:tblPr/>
      <w:tblGrid>
        <w:gridCol w:w="2000"/>
      </w:tblGrid>
      <w:tr>
        <w:tc>
          <w:tcPr>
            <w:tcW w:w="2000" w:type="dxa"/>
            <w:shd w:val="clear" w:fill="D9EAD3"/>
          </w:tcPr>
          <w:p>
            <w:r>
              <w:t xml:space="preserve">Harbor cell.</w:t>
            </w:r>
          </w:p>
        </w:tc>
      </w:tr>
    </w:tbl>
    <w:p>
      <w:r>
        <w:t xml:space="preserve">Harbor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