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Survey channel register.</w:t>
      </w:r>
    </w:p>
    <w:tbl>
      <w:tblPr/>
      <w:tblGrid>
        <w:gridCol w:w="2000"/>
        <w:gridCol w:w="2000"/>
        <w:gridCol w:w="2000"/>
      </w:tblGrid>
      <w:tr>
        <w:tc>
          <w:tcPr>
            <w:tcW w:w="2000" w:type="dxa"/>
            <w:shd w:val="clear" w:fill="D9EAD3"/>
          </w:tcPr>
          <w:p>
            <w:r>
              <w:t xml:space="preserve"/>
            </w:r>
          </w:p>
        </w:tc>
        <w:tc>
          <w:tcPr>
            <w:tcW w:w="4000" w:type="dxa"/>
            <w:gridSpan w:val="2"/>
            <w:shd w:val="clear" w:fill="D9EAD3"/>
          </w:tcPr>
          <w:p>
            <w:r>
              <w:t xml:space="preserve">Long reach marker</w:t>
            </w:r>
          </w:p>
        </w:tc>
      </w:tr>
      <w:tr>
        <w:tc>
          <w:tcPr>
            <w:tcW w:w="2000" w:type="dxa"/>
          </w:tcPr>
          <w:p>
            <w:r>
              <w:t xml:space="preserve"/>
            </w:r>
          </w:p>
        </w:tc>
        <w:tc>
          <w:tcPr>
            <w:tcW w:w="2000" w:type="dxa"/>
          </w:tcPr>
          <w:p>
            <w:r>
              <w:t xml:space="preserve">Canal marker</w:t>
            </w:r>
          </w:p>
        </w:tc>
        <w:tc>
          <w:tcPr>
            <w:tcW w:w="2000" w:type="dxa"/>
          </w:tcPr>
          <w:p>
            <w:r>
              <w:t xml:space="preserve">Quay marker</w:t>
            </w:r>
          </w:p>
        </w:tc>
      </w:tr>
    </w:tbl>
    <w:p>
      <w:r>
        <w:t xml:space="preserve">Register closing remains.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