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2000"/>
      </w:tblGrid>
      <w:tr>
        <w:tc>
          <w:tcPr>
            <w:tcW w:w="2000" w:type="dxa"/>
            <w:shd w:val="clear" w:fill="D9EAD3"/>
          </w:tcPr>
          <w:p>
            <w:r>
              <w:t xml:space="preserve">Long reach marker</w:t>
            </w:r>
          </w:p>
        </w:tc>
      </w:tr>
      <w:tr>
        <w:tc>
          <w:tcPr>
            <w:tcW w:w="2000" w:type="dxa"/>
          </w:tcPr>
          <w:p>
            <w:r>
              <w:t xml:space="preserve">Quay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