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</w:tblGrid>
      <w:tr>
        <w:tc>
          <w:tcPr>
            <w:tcW w:w="6000" w:type="dxa"/>
            <w:gridSpan w:val="3"/>
            <w:shd w:val="clear" w:fill="D9EAD3"/>
          </w:tcPr>
          <w:p>
            <w:r>
              <w:t xml:space="preserve">Long reach marker</w:t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