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Survey channel register.</w:t>
      </w:r>
    </w:p>
    <w:tbl>
      <w:tblPr/>
      <w:tblGrid>
        <w:gridCol w:w="1000"/>
        <w:gridCol w:w="2000"/>
      </w:tblGrid>
      <w:tr>
        <w:trPr>
          <w:trHeight w:val="240"/>
        </w:trPr>
        <w:tc>
          <w:tcPr>
            <w:tcW w:w="2000" w:type="dxa"/>
          </w:tcPr>
          <w:p>
            <w:r>
              <w:t xml:space="preserve">Canal marker</w:t>
            </w:r>
          </w:p>
        </w:tc>
        <w:tc>
          <w:tcPr>
            <w:tcW w:w="2000" w:type="dxa"/>
          </w:tcPr>
          <w:p>
            <w:r>
              <w:t xml:space="preserve">Quay marker</w:t>
            </w:r>
          </w:p>
        </w:tc>
      </w:tr>
      <w:tr>
        <w:tc>
          <w:tcPr>
            <w:tcW w:w="2000" w:type="dxa"/>
          </w:tcPr>
          <w:p>
            <w:r>
              <w:t xml:space="preserve">Jetty marker</w:t>
            </w:r>
          </w:p>
        </w:tc>
        <w:tc>
          <w:tcPr>
            <w:tcW w:w="2000" w:type="dxa"/>
          </w:tcPr>
          <w:p>
            <w:r>
              <w:t xml:space="preserve">Marsh marker</w:t>
            </w:r>
          </w:p>
        </w:tc>
      </w:tr>
    </w:tbl>
    <w:p>
      <w:r>
        <w:t xml:space="preserve">Register closing remains.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